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DBF5" w14:textId="2B8B26C3" w:rsidR="00D6081D" w:rsidRDefault="00D6081D" w:rsidP="0032595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5EF5">
        <w:rPr>
          <w:rFonts w:ascii="TH SarabunPSK" w:hAnsi="TH SarabunPSK" w:cs="TH SarabunPSK"/>
          <w:b/>
          <w:bCs/>
          <w:sz w:val="36"/>
          <w:szCs w:val="36"/>
          <w:cs/>
        </w:rPr>
        <w:t>การพัฒนาและประเมินประสิทธิผลของแนวทางการพยาบาลผู้ป่วยผ่าตัดปลูกถ่ายกระจกต</w:t>
      </w:r>
      <w:r w:rsidR="00B274BA" w:rsidRPr="00FE5EF5">
        <w:rPr>
          <w:rFonts w:ascii="TH SarabunPSK" w:hAnsi="TH SarabunPSK" w:cs="TH SarabunPSK" w:hint="cs"/>
          <w:b/>
          <w:bCs/>
          <w:sz w:val="36"/>
          <w:szCs w:val="36"/>
          <w:cs/>
        </w:rPr>
        <w:t>า</w:t>
      </w:r>
      <w:r w:rsidRPr="00FE5EF5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โรงพยาบาลศรีสะเกษ</w:t>
      </w:r>
    </w:p>
    <w:p w14:paraId="4B8855BD" w14:textId="174EBD43" w:rsidR="00FE5EF5" w:rsidRPr="00FE5EF5" w:rsidRDefault="00FE5EF5" w:rsidP="00325951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5EF5">
        <w:rPr>
          <w:rFonts w:ascii="TH SarabunPSK" w:hAnsi="TH SarabunPSK" w:cs="TH SarabunPSK"/>
          <w:b/>
          <w:bCs/>
          <w:sz w:val="36"/>
          <w:szCs w:val="36"/>
        </w:rPr>
        <w:t>DEVELOPMENT AND EVALUATION OF THE EFFECTIVENESS OF A CLINICAL NURSING CARE PROTOCOL FOR PATIENTS UNDERGOING PENETRATING KERATOPLASTY AT SISEKET HOSPITAL</w:t>
      </w:r>
    </w:p>
    <w:p w14:paraId="36106CBC" w14:textId="7F3D5912" w:rsidR="00D6081D" w:rsidRPr="00FE5EF5" w:rsidRDefault="00D6081D" w:rsidP="00FE5EF5">
      <w:pPr>
        <w:pStyle w:val="ae"/>
        <w:jc w:val="right"/>
        <w:rPr>
          <w:rFonts w:ascii="TH SarabunPSK" w:hAnsi="TH SarabunPSK" w:cs="TH SarabunPSK"/>
          <w:sz w:val="28"/>
          <w:szCs w:val="28"/>
        </w:rPr>
      </w:pPr>
      <w:r w:rsidRPr="00FE5EF5">
        <w:rPr>
          <w:rFonts w:ascii="TH SarabunPSK" w:hAnsi="TH SarabunPSK" w:cs="TH SarabunPSK"/>
          <w:sz w:val="28"/>
          <w:szCs w:val="28"/>
          <w:cs/>
        </w:rPr>
        <w:t xml:space="preserve">มลฤดี หลอมทอง </w:t>
      </w:r>
      <w:r w:rsidRPr="00FE5EF5">
        <w:rPr>
          <w:rFonts w:ascii="TH SarabunPSK" w:hAnsi="TH SarabunPSK" w:cs="TH SarabunPSK" w:hint="cs"/>
          <w:sz w:val="28"/>
          <w:szCs w:val="28"/>
          <w:cs/>
        </w:rPr>
        <w:t xml:space="preserve"> ตำแหน่ง พยาบาลวิชาชีพชำนาญการ</w:t>
      </w:r>
      <w:r w:rsidR="00B274BA" w:rsidRPr="00FE5EF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6942B6F" w14:textId="1A945FAB" w:rsidR="0099388A" w:rsidRDefault="00EB5424" w:rsidP="0099388A">
      <w:pPr>
        <w:pStyle w:val="ae"/>
        <w:jc w:val="right"/>
        <w:rPr>
          <w:rFonts w:ascii="TH SarabunPSK" w:hAnsi="TH SarabunPSK" w:cs="TH SarabunPSK"/>
          <w:b/>
          <w:bCs/>
          <w:szCs w:val="24"/>
        </w:rPr>
      </w:pPr>
      <w:r w:rsidRPr="00FE5EF5">
        <w:rPr>
          <w:rFonts w:ascii="TH SarabunPSK" w:hAnsi="TH SarabunPSK" w:cs="TH SarabunPSK" w:hint="cs"/>
          <w:szCs w:val="24"/>
          <w:cs/>
        </w:rPr>
        <w:t xml:space="preserve">หอผู้ป่วยตา กลุ่มภารกิจด้านการพยาบาล </w:t>
      </w:r>
      <w:r w:rsidRPr="00FE5EF5">
        <w:rPr>
          <w:rFonts w:ascii="TH SarabunPSK" w:hAnsi="TH SarabunPSK" w:cs="TH SarabunPSK"/>
          <w:szCs w:val="24"/>
          <w:cs/>
        </w:rPr>
        <w:t>โรงพยาบาลศรีสะเกษ</w:t>
      </w:r>
    </w:p>
    <w:p w14:paraId="0E652D66" w14:textId="60664BBA" w:rsidR="0099388A" w:rsidRPr="0099388A" w:rsidRDefault="0099388A" w:rsidP="0099388A">
      <w:pPr>
        <w:pStyle w:val="a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9388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บทคักย่อ</w:t>
      </w:r>
    </w:p>
    <w:p w14:paraId="7A3EC0D3" w14:textId="4624E095" w:rsidR="00F414CF" w:rsidRPr="0099388A" w:rsidRDefault="00F414CF" w:rsidP="0099388A">
      <w:pPr>
        <w:pStyle w:val="ae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88A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การวิจัยครั้งนี้เป็นการวิจัยเชิงปฏิบัติการ มีวัตถุประสงค์เพื่อพัฒนาแนวทางการพยาบาลผู้ป่วยผ่าตัดปลูกถ่ายกระจกตา และประเมินประสิทธิผลของแนวทางการพยาบาลที่พัฒนาขึ้นต่อผลลัพธ์ทางคลินิกของผู้ป่วย ความพึงพอใจของผู้ป่วย และสมรรถนะด้านความรู้ของพยาบาลวิชาชีพ กลุ่มตัวอย่างประกอบด้วยพยาบาลวิชาชีพที่ปฏิบัติงานในหอผู้ป่วยตา จำนวน </w:t>
      </w:r>
      <w:r w:rsidRPr="0099388A">
        <w:rPr>
          <w:rFonts w:ascii="TH SarabunPSK" w:hAnsi="TH SarabunPSK" w:cs="TH SarabunPSK"/>
          <w:sz w:val="32"/>
          <w:szCs w:val="32"/>
        </w:rPr>
        <w:t xml:space="preserve">9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คน และผู้ป่วยผ่าตัดปลูกถ่ายกระจกตา จำนวน </w:t>
      </w:r>
      <w:r w:rsidRPr="0099388A">
        <w:rPr>
          <w:rFonts w:ascii="TH SarabunPSK" w:hAnsi="TH SarabunPSK" w:cs="TH SarabunPSK"/>
          <w:sz w:val="32"/>
          <w:szCs w:val="32"/>
        </w:rPr>
        <w:t xml:space="preserve">30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คน ดำเนินการวิจัยตามวงจร </w:t>
      </w:r>
      <w:r w:rsidRPr="0099388A">
        <w:rPr>
          <w:rFonts w:ascii="TH SarabunPSK" w:hAnsi="TH SarabunPSK" w:cs="TH SarabunPSK"/>
          <w:sz w:val="30"/>
        </w:rPr>
        <w:t>(PAOR)</w:t>
      </w:r>
      <w:r w:rsidR="00325951" w:rsidRPr="009938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เครื่องมือที่ใช้ในการวิจัยประกอบด้วย แนวทางการพยาบาลผู้ป่วยผ่าตัดปลูกถ่ายกระจกตาที่ผู้วิจัยพัฒนาขึ้น แบบทดสอบความรู้ของพยาบาล จำนวน </w:t>
      </w:r>
      <w:r w:rsidRPr="0099388A">
        <w:rPr>
          <w:rFonts w:ascii="TH SarabunPSK" w:hAnsi="TH SarabunPSK" w:cs="TH SarabunPSK"/>
          <w:sz w:val="32"/>
          <w:szCs w:val="32"/>
        </w:rPr>
        <w:t xml:space="preserve">15 </w:t>
      </w:r>
      <w:r w:rsidRPr="0099388A">
        <w:rPr>
          <w:rFonts w:ascii="TH SarabunPSK" w:hAnsi="TH SarabunPSK" w:cs="TH SarabunPSK"/>
          <w:sz w:val="32"/>
          <w:szCs w:val="32"/>
          <w:cs/>
        </w:rPr>
        <w:t>ข้อ แบบประเมินความรู้ของผู้ป่วย แบบบันทึกผลลัพธ์ทางคลินิก และแบบสอบถามความพึงพอใจของผู้ป่วย วิเคราะห์ข้อมูลโดยใช้สถิติเชิงพรรณนา ได้แก่ ความถี่ ร้อยละ ค่าเฉลี่ย และส่วนเบี่ยงเบนมาตรฐาน</w:t>
      </w:r>
    </w:p>
    <w:p w14:paraId="265DA605" w14:textId="2586D5EB" w:rsidR="00F414CF" w:rsidRPr="00393FDE" w:rsidRDefault="00F414CF" w:rsidP="00325951">
      <w:pPr>
        <w:pStyle w:val="ae"/>
        <w:ind w:firstLine="720"/>
        <w:jc w:val="thaiDistribute"/>
        <w:rPr>
          <w:rFonts w:ascii="TH SarabunPSK" w:hAnsi="TH SarabunPSK" w:cs="TH SarabunPSK"/>
          <w:sz w:val="30"/>
        </w:rPr>
      </w:pPr>
      <w:r w:rsidRPr="002C551B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 แนวทางการพยาบาลที่พัฒนาขึ้นมีลักษณะเป็นกระบวนการพยาบาลอย่างเป็นระบบ ครอบคลุม </w:t>
      </w:r>
      <w:r w:rsidRPr="0099388A">
        <w:rPr>
          <w:rFonts w:ascii="TH SarabunPSK" w:hAnsi="TH SarabunPSK" w:cs="TH SarabunPSK"/>
          <w:sz w:val="32"/>
          <w:szCs w:val="32"/>
        </w:rPr>
        <w:t xml:space="preserve">3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ระยะ ได้แก่ ระยะก่อนผ่าตัด ระยะหลังผ่าตัด และระยะเตรียมจำหน่ายและการติดตามต่อเนื่อง ผลการประเมินสมรรถนะด้านความรู้ของพยาบาลวิชาชีพ พบว่ามีคะแนนเฉลี่ยอยู่ในระดับสูงมาก </w:t>
      </w:r>
      <w:r w:rsidRPr="00393FDE">
        <w:rPr>
          <w:rFonts w:ascii="TH SarabunPSK" w:hAnsi="TH SarabunPSK" w:cs="TH SarabunPSK"/>
          <w:sz w:val="30"/>
          <w:cs/>
        </w:rPr>
        <w:t>(</w:t>
      </w:r>
      <w:r w:rsidRPr="00393FDE">
        <w:rPr>
          <w:rFonts w:ascii="TH SarabunPSK" w:hAnsi="TH SarabunPSK" w:cs="TH SarabunPSK"/>
          <w:sz w:val="30"/>
        </w:rPr>
        <w:t xml:space="preserve">Mean = 14.89, SD = 0.33 </w:t>
      </w:r>
      <w:r w:rsidRPr="00393FDE">
        <w:rPr>
          <w:rFonts w:ascii="TH SarabunPSK" w:hAnsi="TH SarabunPSK" w:cs="TH SarabunPSK"/>
          <w:sz w:val="32"/>
          <w:szCs w:val="32"/>
          <w:cs/>
        </w:rPr>
        <w:t xml:space="preserve">จากคะแนนเต็ม </w:t>
      </w:r>
      <w:r w:rsidRPr="00393FDE">
        <w:rPr>
          <w:rFonts w:ascii="TH SarabunPSK" w:hAnsi="TH SarabunPSK" w:cs="TH SarabunPSK"/>
          <w:sz w:val="32"/>
          <w:szCs w:val="32"/>
        </w:rPr>
        <w:t xml:space="preserve">15 </w:t>
      </w:r>
      <w:r w:rsidRPr="00393FDE">
        <w:rPr>
          <w:rFonts w:ascii="TH SarabunPSK" w:hAnsi="TH SarabunPSK" w:cs="TH SarabunPSK"/>
          <w:sz w:val="32"/>
          <w:szCs w:val="32"/>
          <w:cs/>
        </w:rPr>
        <w:t>คะแนน</w:t>
      </w:r>
      <w:r w:rsidRPr="00393FDE">
        <w:rPr>
          <w:rFonts w:ascii="TH SarabunPSK" w:hAnsi="TH SarabunPSK" w:cs="TH SarabunPSK"/>
          <w:sz w:val="30"/>
          <w:cs/>
        </w:rPr>
        <w:t>)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 แสดงถึงความสม่ำเสมอของความรู้ในกลุ่มตัวอย่างด้านผู้ป่วย พบว่ามีความรู้เกี่ยวกับโรคและการผ่าตัดอยู่ในระดับดี โดยข้อคำถามส่วนใหญ่มีอัตราการตอบถูกถึงร้อยละ </w:t>
      </w:r>
      <w:r w:rsidRPr="0099388A">
        <w:rPr>
          <w:rFonts w:ascii="TH SarabunPSK" w:hAnsi="TH SarabunPSK" w:cs="TH SarabunPSK"/>
          <w:sz w:val="32"/>
          <w:szCs w:val="32"/>
        </w:rPr>
        <w:t xml:space="preserve">100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อย่างไรก็ตาม ยังพบความเข้าใจคลาดเคลื่อนในบางประเด็น เช่น การปฏิบัติตัวเมื่อมีอาการผิดปกติและการดูแลหลังผ่าตัด ในด้านผลลัพธ์ทางคลินิก พบว่า ผู้ป่วยส่วนใหญ่ไม่พบการติดเชื้อภายใน </w:t>
      </w:r>
      <w:r w:rsidRPr="0099388A">
        <w:rPr>
          <w:rFonts w:ascii="TH SarabunPSK" w:hAnsi="TH SarabunPSK" w:cs="TH SarabunPSK"/>
          <w:sz w:val="32"/>
          <w:szCs w:val="32"/>
        </w:rPr>
        <w:t xml:space="preserve">30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วันหลังผ่าตัด (ร้อยละ </w:t>
      </w:r>
      <w:r w:rsidRPr="0099388A">
        <w:rPr>
          <w:rFonts w:ascii="TH SarabunPSK" w:hAnsi="TH SarabunPSK" w:cs="TH SarabunPSK"/>
          <w:sz w:val="32"/>
          <w:szCs w:val="32"/>
        </w:rPr>
        <w:t xml:space="preserve">93.30)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และไม่เกิดภาวะปฏิเสธกระจกตาภายใน </w:t>
      </w:r>
      <w:r w:rsidRPr="0099388A">
        <w:rPr>
          <w:rFonts w:ascii="TH SarabunPSK" w:hAnsi="TH SarabunPSK" w:cs="TH SarabunPSK"/>
          <w:sz w:val="32"/>
          <w:szCs w:val="32"/>
        </w:rPr>
        <w:t xml:space="preserve">3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เดือน (ร้อยละ </w:t>
      </w:r>
      <w:r w:rsidRPr="0099388A">
        <w:rPr>
          <w:rFonts w:ascii="TH SarabunPSK" w:hAnsi="TH SarabunPSK" w:cs="TH SarabunPSK"/>
          <w:sz w:val="32"/>
          <w:szCs w:val="32"/>
        </w:rPr>
        <w:t xml:space="preserve">93.30)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ค่าเฉลี่ยความดันลูกตาหลังผ่าตัดเท่ากับ </w:t>
      </w:r>
      <w:r w:rsidRPr="0099388A">
        <w:rPr>
          <w:rFonts w:ascii="TH SarabunPSK" w:hAnsi="TH SarabunPSK" w:cs="TH SarabunPSK"/>
          <w:sz w:val="32"/>
          <w:szCs w:val="32"/>
        </w:rPr>
        <w:t xml:space="preserve">17.9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มิลลิเมตรปรอท และผู้ป่วยร้อยละ </w:t>
      </w:r>
      <w:r w:rsidRPr="0099388A">
        <w:rPr>
          <w:rFonts w:ascii="TH SarabunPSK" w:hAnsi="TH SarabunPSK" w:cs="TH SarabunPSK"/>
          <w:sz w:val="32"/>
          <w:szCs w:val="32"/>
        </w:rPr>
        <w:t xml:space="preserve">26.70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มีค่าความดันลูกตาสูงกว่า </w:t>
      </w:r>
      <w:r w:rsidRPr="0099388A">
        <w:rPr>
          <w:rFonts w:ascii="TH SarabunPSK" w:hAnsi="TH SarabunPSK" w:cs="TH SarabunPSK"/>
          <w:sz w:val="32"/>
          <w:szCs w:val="32"/>
        </w:rPr>
        <w:t xml:space="preserve">21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มิลลิเมตรปรอทอย่างน้อย </w:t>
      </w:r>
      <w:r w:rsidRPr="0099388A">
        <w:rPr>
          <w:rFonts w:ascii="TH SarabunPSK" w:hAnsi="TH SarabunPSK" w:cs="TH SarabunPSK"/>
          <w:sz w:val="32"/>
          <w:szCs w:val="32"/>
        </w:rPr>
        <w:t xml:space="preserve">1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ครั้ง ระยะเวลานอนโรงพยาบาลเฉลี่ยเท่ากับ </w:t>
      </w:r>
      <w:r w:rsidRPr="0099388A">
        <w:rPr>
          <w:rFonts w:ascii="TH SarabunPSK" w:hAnsi="TH SarabunPSK" w:cs="TH SarabunPSK"/>
          <w:sz w:val="32"/>
          <w:szCs w:val="32"/>
        </w:rPr>
        <w:t xml:space="preserve">15.5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วัน ด้านความพึงพอใจของผู้ป่วย พบว่าโดยรวมอยู่ในระดับมากที่สุด </w:t>
      </w:r>
      <w:r w:rsidRPr="00530CFB">
        <w:rPr>
          <w:rFonts w:ascii="TH SarabunPSK" w:hAnsi="TH SarabunPSK" w:cs="TH SarabunPSK"/>
          <w:sz w:val="30"/>
          <w:cs/>
        </w:rPr>
        <w:t>(</w:t>
      </w:r>
      <w:r w:rsidRPr="00530CFB">
        <w:rPr>
          <w:rFonts w:ascii="TH SarabunPSK" w:hAnsi="TH SarabunPSK" w:cs="TH SarabunPSK"/>
          <w:sz w:val="30"/>
        </w:rPr>
        <w:t>Mean = 4.78, SD = 0.11</w:t>
      </w:r>
      <w:r w:rsidRPr="0099388A">
        <w:rPr>
          <w:rFonts w:ascii="TH SarabunPSK" w:hAnsi="TH SarabunPSK" w:cs="TH SarabunPSK"/>
          <w:sz w:val="32"/>
          <w:szCs w:val="32"/>
        </w:rPr>
        <w:t xml:space="preserve">)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โดยด้านที่มีค่าเฉลี่ยสูงสุด ได้แก่ การจัดสถานที่และป้ายบอกทิศทาง </w:t>
      </w:r>
      <w:r w:rsidRPr="00530CFB">
        <w:rPr>
          <w:rFonts w:ascii="TH SarabunPSK" w:hAnsi="TH SarabunPSK" w:cs="TH SarabunPSK"/>
          <w:sz w:val="30"/>
          <w:cs/>
        </w:rPr>
        <w:t>(</w:t>
      </w:r>
      <w:r w:rsidRPr="00530CFB">
        <w:rPr>
          <w:rFonts w:ascii="TH SarabunPSK" w:hAnsi="TH SarabunPSK" w:cs="TH SarabunPSK"/>
          <w:sz w:val="30"/>
        </w:rPr>
        <w:t>Mean = 4.93, SD = 0.25)</w:t>
      </w:r>
      <w:r w:rsidRPr="0099388A">
        <w:rPr>
          <w:rFonts w:ascii="TH SarabunPSK" w:hAnsi="TH SarabunPSK" w:cs="TH SarabunPSK"/>
          <w:sz w:val="32"/>
          <w:szCs w:val="32"/>
        </w:rPr>
        <w:t xml:space="preserve"> 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รองลงมาคือ บุคลากรมีความรู้และให้คำแนะนำได้ชัดเจน </w:t>
      </w:r>
      <w:r w:rsidRPr="00530CFB">
        <w:rPr>
          <w:rFonts w:ascii="TH SarabunPSK" w:hAnsi="TH SarabunPSK" w:cs="TH SarabunPSK"/>
          <w:sz w:val="30"/>
          <w:cs/>
        </w:rPr>
        <w:t>(</w:t>
      </w:r>
      <w:r w:rsidRPr="00530CFB">
        <w:rPr>
          <w:rFonts w:ascii="TH SarabunPSK" w:hAnsi="TH SarabunPSK" w:cs="TH SarabunPSK"/>
          <w:sz w:val="30"/>
        </w:rPr>
        <w:t>Mean= 4.90, SD = 0.31)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 และความสะดวกสบายของสถานที่ </w:t>
      </w:r>
      <w:r w:rsidRPr="00393FDE">
        <w:rPr>
          <w:rFonts w:ascii="TH SarabunPSK" w:hAnsi="TH SarabunPSK" w:cs="TH SarabunPSK"/>
          <w:sz w:val="30"/>
          <w:cs/>
        </w:rPr>
        <w:t>(</w:t>
      </w:r>
      <w:r w:rsidRPr="00393FDE">
        <w:rPr>
          <w:rFonts w:ascii="TH SarabunPSK" w:hAnsi="TH SarabunPSK" w:cs="TH SarabunPSK"/>
          <w:sz w:val="30"/>
        </w:rPr>
        <w:t>Mean = 4.87, SD = 0.35)</w:t>
      </w:r>
    </w:p>
    <w:p w14:paraId="501064EB" w14:textId="7DA8C0B2" w:rsidR="007458A3" w:rsidRPr="00393FDE" w:rsidRDefault="00F414CF" w:rsidP="002C551B">
      <w:pPr>
        <w:pStyle w:val="ae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  <w:cs/>
        </w:rPr>
        <w:t>สรุปได้ว่า</w:t>
      </w:r>
      <w:r w:rsidRPr="0099388A">
        <w:rPr>
          <w:rFonts w:ascii="TH SarabunPSK" w:hAnsi="TH SarabunPSK" w:cs="TH SarabunPSK"/>
          <w:sz w:val="32"/>
          <w:szCs w:val="32"/>
          <w:cs/>
        </w:rPr>
        <w:t xml:space="preserve"> แนวทางการพยาบาลที่พัฒนาขึ้นมีประสิทธิผลในการส่งเสริมผลลัพธ์ทางคลินิก เพิ่มระดับความรู้ของพยาบาล และสร้างความพึงพอใจแก่ผู้ป่วยในระดับสูง จึงควรนำไปใช้เป็นแนวปฏิบัติมาตรฐานในหน่วยงาน และพัฒนาอย่างต่อเนื่องเพื่อยกระดับคุณภาพการพยาบาล</w:t>
      </w:r>
      <w:r w:rsidR="00393FD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388A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99388A">
        <w:rPr>
          <w:rFonts w:ascii="TH SarabunPSK" w:hAnsi="TH SarabunPSK" w:cs="TH SarabunPSK"/>
          <w:sz w:val="32"/>
          <w:szCs w:val="32"/>
          <w:cs/>
        </w:rPr>
        <w:t>:</w:t>
      </w:r>
      <w:r w:rsidRPr="0099388A">
        <w:rPr>
          <w:rFonts w:ascii="TH SarabunPSK" w:hAnsi="TH SarabunPSK" w:cs="TH SarabunPSK"/>
          <w:sz w:val="32"/>
          <w:szCs w:val="32"/>
        </w:rPr>
        <w:t xml:space="preserve"> </w:t>
      </w:r>
      <w:r w:rsidRPr="0099388A">
        <w:rPr>
          <w:rFonts w:ascii="TH SarabunPSK" w:hAnsi="TH SarabunPSK" w:cs="TH SarabunPSK"/>
          <w:sz w:val="32"/>
          <w:szCs w:val="32"/>
          <w:cs/>
        </w:rPr>
        <w:t>แนวทางการพยาบาล</w:t>
      </w:r>
      <w:r w:rsidRPr="0099388A">
        <w:rPr>
          <w:rFonts w:ascii="TH SarabunPSK" w:hAnsi="TH SarabunPSK" w:cs="TH SarabunPSK"/>
          <w:sz w:val="32"/>
          <w:szCs w:val="32"/>
        </w:rPr>
        <w:t xml:space="preserve">, </w:t>
      </w:r>
      <w:r w:rsidRPr="0099388A">
        <w:rPr>
          <w:rFonts w:ascii="TH SarabunPSK" w:hAnsi="TH SarabunPSK" w:cs="TH SarabunPSK"/>
          <w:sz w:val="32"/>
          <w:szCs w:val="32"/>
          <w:cs/>
        </w:rPr>
        <w:t>การปลูกถ่ายกระจกตา</w:t>
      </w:r>
      <w:r w:rsidRPr="0099388A">
        <w:rPr>
          <w:rFonts w:ascii="TH SarabunPSK" w:hAnsi="TH SarabunPSK" w:cs="TH SarabunPSK"/>
          <w:sz w:val="32"/>
          <w:szCs w:val="32"/>
        </w:rPr>
        <w:t xml:space="preserve">, </w:t>
      </w:r>
      <w:r w:rsidRPr="0099388A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</w:t>
      </w:r>
      <w:r w:rsidRPr="0099388A">
        <w:rPr>
          <w:rFonts w:ascii="TH SarabunPSK" w:hAnsi="TH SarabunPSK" w:cs="TH SarabunPSK"/>
          <w:sz w:val="32"/>
          <w:szCs w:val="32"/>
        </w:rPr>
        <w:t xml:space="preserve">, </w:t>
      </w:r>
      <w:r w:rsidRPr="0099388A">
        <w:rPr>
          <w:rFonts w:ascii="TH SarabunPSK" w:hAnsi="TH SarabunPSK" w:cs="TH SarabunPSK"/>
          <w:sz w:val="32"/>
          <w:szCs w:val="32"/>
          <w:cs/>
        </w:rPr>
        <w:t>ผลลัพธ์ทางคลินิก</w:t>
      </w:r>
      <w:r w:rsidRPr="0099388A">
        <w:rPr>
          <w:rFonts w:ascii="TH SarabunPSK" w:hAnsi="TH SarabunPSK" w:cs="TH SarabunPSK"/>
          <w:sz w:val="32"/>
          <w:szCs w:val="32"/>
        </w:rPr>
        <w:t xml:space="preserve">, </w:t>
      </w:r>
      <w:r w:rsidRPr="0099388A">
        <w:rPr>
          <w:rFonts w:ascii="TH SarabunPSK" w:hAnsi="TH SarabunPSK" w:cs="TH SarabunPSK"/>
          <w:sz w:val="32"/>
          <w:szCs w:val="32"/>
          <w:cs/>
        </w:rPr>
        <w:t>ความพึงพอใจของผู้ป่วย</w:t>
      </w:r>
    </w:p>
    <w:p w14:paraId="4F5F499C" w14:textId="77777777" w:rsidR="00530CFB" w:rsidRPr="00530CFB" w:rsidRDefault="00530CFB" w:rsidP="00530CFB">
      <w:pPr>
        <w:pStyle w:val="ae"/>
        <w:rPr>
          <w:rFonts w:ascii="TH SarabunPSK" w:hAnsi="TH SarabunPSK" w:cs="TH SarabunPSK"/>
          <w:sz w:val="32"/>
          <w:szCs w:val="32"/>
        </w:rPr>
      </w:pPr>
      <w:r w:rsidRPr="00530C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  <w:r w:rsidRPr="00530CFB">
        <w:rPr>
          <w:rFonts w:ascii="TH SarabunPSK" w:hAnsi="TH SarabunPSK" w:cs="TH SarabunPSK"/>
          <w:sz w:val="32"/>
          <w:szCs w:val="32"/>
          <w:cs/>
        </w:rPr>
        <w:t xml:space="preserve"> 1. กำหนดแนวทางการพยาบาลที่พัฒนาขึ้นเป็นแนวปฏิบัติมาตรฐาน (</w:t>
      </w:r>
      <w:r w:rsidRPr="00530CFB">
        <w:rPr>
          <w:rFonts w:ascii="TH SarabunPSK" w:hAnsi="TH SarabunPSK" w:cs="TH SarabunPSK"/>
          <w:sz w:val="32"/>
          <w:szCs w:val="32"/>
        </w:rPr>
        <w:t xml:space="preserve">Clinical Practice Guideline: CPG) </w:t>
      </w:r>
      <w:r w:rsidRPr="00530CFB">
        <w:rPr>
          <w:rFonts w:ascii="TH SarabunPSK" w:hAnsi="TH SarabunPSK" w:cs="TH SarabunPSK"/>
          <w:sz w:val="32"/>
          <w:szCs w:val="32"/>
          <w:cs/>
        </w:rPr>
        <w:t>ของหน่วยงาน พร้อมระบบกำกับติดตามและประเมินผล (</w:t>
      </w:r>
      <w:r w:rsidRPr="00530CFB">
        <w:rPr>
          <w:rFonts w:ascii="TH SarabunPSK" w:hAnsi="TH SarabunPSK" w:cs="TH SarabunPSK"/>
          <w:sz w:val="32"/>
          <w:szCs w:val="32"/>
        </w:rPr>
        <w:t xml:space="preserve">audit) </w:t>
      </w:r>
      <w:r w:rsidRPr="00530CFB">
        <w:rPr>
          <w:rFonts w:ascii="TH SarabunPSK" w:hAnsi="TH SarabunPSK" w:cs="TH SarabunPSK"/>
          <w:sz w:val="32"/>
          <w:szCs w:val="32"/>
          <w:cs/>
        </w:rPr>
        <w:t>อย่างต่อเนื่อง เพื่อลดความแปรปรวนในการดูแลและเพิ่มความปลอดภัยของผู้ป่วย</w:t>
      </w:r>
      <w:r w:rsidRPr="00530CFB">
        <w:rPr>
          <w:rFonts w:ascii="TH SarabunPSK" w:hAnsi="TH SarabunPSK" w:cs="TH SarabunPSK"/>
          <w:sz w:val="32"/>
          <w:szCs w:val="32"/>
        </w:rPr>
        <w:t xml:space="preserve"> </w:t>
      </w:r>
      <w:r w:rsidRPr="00530CFB">
        <w:rPr>
          <w:rFonts w:ascii="TH SarabunPSK" w:hAnsi="TH SarabunPSK" w:cs="TH SarabunPSK"/>
          <w:sz w:val="32"/>
          <w:szCs w:val="32"/>
          <w:cs/>
        </w:rPr>
        <w:t xml:space="preserve"> 2.ส่งเสริมการพัฒนาสมรรถนะพยาบาลอย่างต่อเนื่องผ่านการอบรมเฉพาะทาง การฝึกทักษะเชิงปฏิบัติ และการทบทวนเหตุการณ์ทางคลินิก เพื่อยกระดับคุณภาพการพยาบาลตามมาตรฐานวิชาชีพ</w:t>
      </w:r>
      <w:r w:rsidRPr="00530CFB">
        <w:rPr>
          <w:rFonts w:ascii="TH SarabunPSK" w:hAnsi="TH SarabunPSK" w:cs="TH SarabunPSK"/>
          <w:sz w:val="32"/>
          <w:szCs w:val="32"/>
        </w:rPr>
        <w:t xml:space="preserve"> </w:t>
      </w:r>
    </w:p>
    <w:p w14:paraId="7A4D903D" w14:textId="77777777" w:rsidR="002C551B" w:rsidRDefault="002C551B" w:rsidP="00325951">
      <w:pPr>
        <w:pStyle w:val="ae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4B433D" w14:textId="55B0CA4B" w:rsidR="00530CFB" w:rsidRPr="002C551B" w:rsidRDefault="002C551B" w:rsidP="00325951">
      <w:pPr>
        <w:pStyle w:val="ae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51B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23E24D61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  <w:cs/>
        </w:rPr>
        <w:t>ศูนย์ดวงตาสภากาชาดไทย. (</w:t>
      </w:r>
      <w:r w:rsidRPr="002C551B">
        <w:rPr>
          <w:rFonts w:ascii="TH SarabunPSK" w:hAnsi="TH SarabunPSK" w:cs="TH SarabunPSK"/>
          <w:sz w:val="32"/>
          <w:szCs w:val="32"/>
        </w:rPr>
        <w:t xml:space="preserve">2566). </w:t>
      </w:r>
      <w:r w:rsidRPr="002C551B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รายงานสถานการณ์การปลูกถ่ายกระจกตาในประเทศไทย</w:t>
      </w:r>
      <w:r w:rsidRPr="002C551B">
        <w:rPr>
          <w:rFonts w:ascii="TH SarabunPSK" w:hAnsi="TH SarabunPSK" w:cs="TH SarabunPSK"/>
          <w:sz w:val="32"/>
          <w:szCs w:val="32"/>
        </w:rPr>
        <w:t xml:space="preserve">. </w:t>
      </w:r>
      <w:r w:rsidRPr="002C551B">
        <w:rPr>
          <w:rFonts w:ascii="TH SarabunPSK" w:hAnsi="TH SarabunPSK" w:cs="TH SarabunPSK"/>
          <w:sz w:val="32"/>
          <w:szCs w:val="32"/>
          <w:cs/>
        </w:rPr>
        <w:t>กรุงเทพมหานคร: ศูนย์ดวงตาสภากาชาดไทย.</w:t>
      </w:r>
    </w:p>
    <w:p w14:paraId="3BBF4946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  <w:cs/>
        </w:rPr>
        <w:t>สภาการพยาบาล. (</w:t>
      </w:r>
      <w:r w:rsidRPr="002C551B">
        <w:rPr>
          <w:rFonts w:ascii="TH SarabunPSK" w:hAnsi="TH SarabunPSK" w:cs="TH SarabunPSK"/>
          <w:sz w:val="32"/>
          <w:szCs w:val="32"/>
        </w:rPr>
        <w:t xml:space="preserve">2565). </w:t>
      </w:r>
      <w:r w:rsidRPr="002C551B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แนวทางการพยาบาลทางคลินิก (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 xml:space="preserve">Clinical practice guideline) </w:t>
      </w:r>
      <w:r w:rsidRPr="002C551B">
        <w:rPr>
          <w:rFonts w:ascii="TH SarabunPSK" w:hAnsi="TH SarabunPSK" w:cs="TH SarabunPSK"/>
          <w:i/>
          <w:iCs/>
          <w:sz w:val="32"/>
          <w:szCs w:val="32"/>
          <w:cs/>
        </w:rPr>
        <w:t>สำหรับการดูแลผู้ป่วย</w:t>
      </w:r>
      <w:r w:rsidRPr="002C551B">
        <w:rPr>
          <w:rFonts w:ascii="TH SarabunPSK" w:hAnsi="TH SarabunPSK" w:cs="TH SarabunPSK"/>
          <w:sz w:val="32"/>
          <w:szCs w:val="32"/>
        </w:rPr>
        <w:t xml:space="preserve">. </w:t>
      </w:r>
      <w:r w:rsidRPr="002C551B">
        <w:rPr>
          <w:rFonts w:ascii="TH SarabunPSK" w:hAnsi="TH SarabunPSK" w:cs="TH SarabunPSK"/>
          <w:sz w:val="32"/>
          <w:szCs w:val="32"/>
          <w:cs/>
        </w:rPr>
        <w:t>กรุงเทพมหานคร: สภาการพยาบาล.</w:t>
      </w:r>
    </w:p>
    <w:p w14:paraId="346AD467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  <w:cs/>
        </w:rPr>
        <w:t>โรงพยาบาลศรีสะเกษ. (</w:t>
      </w:r>
      <w:r w:rsidRPr="002C551B">
        <w:rPr>
          <w:rFonts w:ascii="TH SarabunPSK" w:hAnsi="TH SarabunPSK" w:cs="TH SarabunPSK"/>
          <w:sz w:val="32"/>
          <w:szCs w:val="32"/>
        </w:rPr>
        <w:t xml:space="preserve">2568). </w:t>
      </w:r>
      <w:r w:rsidRPr="002C551B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รายงานสถิติผู้ป่วยหอผู้ป่วยตา ประจำปี พ.ศ.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2566–2568</w:t>
      </w:r>
      <w:r w:rsidRPr="002C551B">
        <w:rPr>
          <w:rFonts w:ascii="TH SarabunPSK" w:hAnsi="TH SarabunPSK" w:cs="TH SarabunPSK"/>
          <w:sz w:val="32"/>
          <w:szCs w:val="32"/>
        </w:rPr>
        <w:t xml:space="preserve">. </w:t>
      </w:r>
      <w:r w:rsidRPr="002C551B">
        <w:rPr>
          <w:rFonts w:ascii="TH SarabunPSK" w:hAnsi="TH SarabunPSK" w:cs="TH SarabunPSK"/>
          <w:sz w:val="32"/>
          <w:szCs w:val="32"/>
          <w:cs/>
        </w:rPr>
        <w:t>ศรีสะเกษ: โรงพยาบาลศรีสะเกษ.</w:t>
      </w:r>
    </w:p>
    <w:p w14:paraId="01634252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Cohen, J. (1988).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Statistical power analysis for the behavioral sciences</w:t>
      </w:r>
      <w:r w:rsidRPr="002C551B">
        <w:rPr>
          <w:rFonts w:ascii="TH SarabunPSK" w:hAnsi="TH SarabunPSK" w:cs="TH SarabunPSK"/>
          <w:sz w:val="32"/>
          <w:szCs w:val="32"/>
        </w:rPr>
        <w:t xml:space="preserve"> (2nd ed.). Lawrence Erlbaum Associates.</w:t>
      </w:r>
    </w:p>
    <w:p w14:paraId="57F40187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World Health Organization. (2020).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World report on vision</w:t>
      </w:r>
      <w:r w:rsidRPr="002C551B">
        <w:rPr>
          <w:rFonts w:ascii="TH SarabunPSK" w:hAnsi="TH SarabunPSK" w:cs="TH SarabunPSK"/>
          <w:sz w:val="32"/>
          <w:szCs w:val="32"/>
        </w:rPr>
        <w:t xml:space="preserve">. </w:t>
      </w:r>
      <w:hyperlink r:id="rId6" w:tgtFrame="_new" w:history="1">
        <w:r w:rsidRPr="002C551B">
          <w:rPr>
            <w:rStyle w:val="af"/>
            <w:rFonts w:ascii="TH SarabunPSK" w:hAnsi="TH SarabunPSK" w:cs="TH SarabunPSK"/>
            <w:sz w:val="32"/>
            <w:szCs w:val="32"/>
          </w:rPr>
          <w:t>https://www.who.int/publications/i/item/9789241516570</w:t>
        </w:r>
      </w:hyperlink>
    </w:p>
    <w:p w14:paraId="55599BC0" w14:textId="0F7411D0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Coster, D. J. (2014). The Australian corneal graft registry.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British Journal of Ophthalmology, 98</w:t>
      </w:r>
      <w:r w:rsidRPr="002C551B">
        <w:rPr>
          <w:rFonts w:ascii="TH SarabunPSK" w:hAnsi="TH SarabunPSK" w:cs="TH SarabunPSK"/>
          <w:sz w:val="32"/>
          <w:szCs w:val="32"/>
        </w:rPr>
        <w:t xml:space="preserve">(2), 141–142. </w:t>
      </w:r>
      <w:hyperlink r:id="rId7" w:history="1">
        <w:r w:rsidRPr="002C551B">
          <w:rPr>
            <w:rStyle w:val="af"/>
            <w:rFonts w:ascii="TH SarabunPSK" w:hAnsi="TH SarabunPSK" w:cs="TH SarabunPSK"/>
            <w:sz w:val="32"/>
            <w:szCs w:val="32"/>
          </w:rPr>
          <w:t>https://doi.org/10.1136/bjophthalmol-2013-304344</w:t>
        </w:r>
      </w:hyperlink>
    </w:p>
    <w:p w14:paraId="69B8E7EB" w14:textId="77777777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Melnyk, B. M., &amp; Fineout-Overholt, E. (2019).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Evidence-based practice in nursing &amp; healthcare: A guide to best practice</w:t>
      </w:r>
      <w:r w:rsidRPr="002C551B">
        <w:rPr>
          <w:rFonts w:ascii="TH SarabunPSK" w:hAnsi="TH SarabunPSK" w:cs="TH SarabunPSK"/>
          <w:sz w:val="32"/>
          <w:szCs w:val="32"/>
        </w:rPr>
        <w:t xml:space="preserve"> (4th ed.). Wolters Kluwer.</w:t>
      </w:r>
    </w:p>
    <w:p w14:paraId="7F5B8C29" w14:textId="72DC20F1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Reinhard, T., </w:t>
      </w:r>
      <w:proofErr w:type="spellStart"/>
      <w:r w:rsidRPr="002C551B">
        <w:rPr>
          <w:rFonts w:ascii="TH SarabunPSK" w:hAnsi="TH SarabunPSK" w:cs="TH SarabunPSK"/>
          <w:sz w:val="32"/>
          <w:szCs w:val="32"/>
        </w:rPr>
        <w:t>Böhringer</w:t>
      </w:r>
      <w:proofErr w:type="spellEnd"/>
      <w:r w:rsidRPr="002C551B">
        <w:rPr>
          <w:rFonts w:ascii="TH SarabunPSK" w:hAnsi="TH SarabunPSK" w:cs="TH SarabunPSK"/>
          <w:sz w:val="32"/>
          <w:szCs w:val="32"/>
        </w:rPr>
        <w:t xml:space="preserve">, D., &amp; </w:t>
      </w:r>
      <w:proofErr w:type="spellStart"/>
      <w:r w:rsidRPr="002C551B">
        <w:rPr>
          <w:rFonts w:ascii="TH SarabunPSK" w:hAnsi="TH SarabunPSK" w:cs="TH SarabunPSK"/>
          <w:sz w:val="32"/>
          <w:szCs w:val="32"/>
        </w:rPr>
        <w:t>Sundmacher</w:t>
      </w:r>
      <w:proofErr w:type="spellEnd"/>
      <w:r w:rsidRPr="002C551B">
        <w:rPr>
          <w:rFonts w:ascii="TH SarabunPSK" w:hAnsi="TH SarabunPSK" w:cs="TH SarabunPSK"/>
          <w:sz w:val="32"/>
          <w:szCs w:val="32"/>
        </w:rPr>
        <w:t xml:space="preserve">, R. (2015). Systemic and topical immunosuppression in high-risk keratoplasty.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Clinical Ophthalmology, 9</w:t>
      </w:r>
      <w:r w:rsidRPr="002C551B">
        <w:rPr>
          <w:rFonts w:ascii="TH SarabunPSK" w:hAnsi="TH SarabunPSK" w:cs="TH SarabunPSK"/>
          <w:sz w:val="32"/>
          <w:szCs w:val="32"/>
        </w:rPr>
        <w:t xml:space="preserve">, 141–149. </w:t>
      </w:r>
      <w:hyperlink r:id="rId8" w:history="1">
        <w:r w:rsidRPr="002C551B">
          <w:rPr>
            <w:rStyle w:val="af"/>
            <w:rFonts w:ascii="TH SarabunPSK" w:hAnsi="TH SarabunPSK" w:cs="TH SarabunPSK"/>
            <w:sz w:val="32"/>
            <w:szCs w:val="32"/>
          </w:rPr>
          <w:t>https://doi.org/10.2147/OPTH.S39864</w:t>
        </w:r>
      </w:hyperlink>
    </w:p>
    <w:p w14:paraId="50C2F935" w14:textId="01E8A93A" w:rsidR="002C551B" w:rsidRPr="002C551B" w:rsidRDefault="002C551B" w:rsidP="002C551B">
      <w:pPr>
        <w:pStyle w:val="ae"/>
        <w:rPr>
          <w:rFonts w:ascii="TH SarabunPSK" w:hAnsi="TH SarabunPSK" w:cs="TH SarabunPSK"/>
          <w:sz w:val="32"/>
          <w:szCs w:val="32"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Tan, D. T. H., Dart, J. K. G., Holland, E. J., &amp; Kinoshita, S. (2012). Corneal transplantation.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The Lancet, 379</w:t>
      </w:r>
      <w:r w:rsidRPr="002C551B">
        <w:rPr>
          <w:rFonts w:ascii="TH SarabunPSK" w:hAnsi="TH SarabunPSK" w:cs="TH SarabunPSK"/>
          <w:sz w:val="32"/>
          <w:szCs w:val="32"/>
        </w:rPr>
        <w:t xml:space="preserve">(9827), 1749–1761. </w:t>
      </w:r>
      <w:hyperlink r:id="rId9" w:history="1">
        <w:r w:rsidRPr="002C551B">
          <w:rPr>
            <w:rStyle w:val="af"/>
            <w:rFonts w:ascii="TH SarabunPSK" w:hAnsi="TH SarabunPSK" w:cs="TH SarabunPSK"/>
            <w:sz w:val="32"/>
            <w:szCs w:val="32"/>
          </w:rPr>
          <w:t>https://doi.org/10.1016/S0140-6736(12)60437-1</w:t>
        </w:r>
      </w:hyperlink>
    </w:p>
    <w:p w14:paraId="582277A4" w14:textId="62DF5811" w:rsidR="002C551B" w:rsidRPr="002C551B" w:rsidRDefault="002C551B" w:rsidP="002C551B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 w:rsidRPr="002C551B">
        <w:rPr>
          <w:rFonts w:ascii="TH SarabunPSK" w:hAnsi="TH SarabunPSK" w:cs="TH SarabunPSK"/>
          <w:sz w:val="32"/>
          <w:szCs w:val="32"/>
        </w:rPr>
        <w:t xml:space="preserve">Williams, K. A., Lowe, M., Bartlett, C., Kelly, T. L., &amp; Coster, D. J. (2016). Risk factors for human corneal graft failure. </w:t>
      </w:r>
      <w:r w:rsidRPr="002C551B">
        <w:rPr>
          <w:rFonts w:ascii="TH SarabunPSK" w:hAnsi="TH SarabunPSK" w:cs="TH SarabunPSK"/>
          <w:i/>
          <w:iCs/>
          <w:sz w:val="32"/>
          <w:szCs w:val="32"/>
        </w:rPr>
        <w:t>Ophthalmology, 123</w:t>
      </w:r>
      <w:r w:rsidRPr="002C551B">
        <w:rPr>
          <w:rFonts w:ascii="TH SarabunPSK" w:hAnsi="TH SarabunPSK" w:cs="TH SarabunPSK"/>
          <w:sz w:val="32"/>
          <w:szCs w:val="32"/>
        </w:rPr>
        <w:t xml:space="preserve">(8), 1618–1625. </w:t>
      </w:r>
      <w:hyperlink r:id="rId10" w:history="1">
        <w:r w:rsidRPr="002C551B">
          <w:rPr>
            <w:rStyle w:val="af"/>
            <w:rFonts w:ascii="TH SarabunPSK" w:hAnsi="TH SarabunPSK" w:cs="TH SarabunPSK"/>
            <w:sz w:val="32"/>
            <w:szCs w:val="32"/>
          </w:rPr>
          <w:t>https://doi.org/10.1016/j.ophtha.2016.04.002</w:t>
        </w:r>
      </w:hyperlink>
    </w:p>
    <w:sectPr w:rsidR="002C551B" w:rsidRPr="002C551B" w:rsidSect="00FE5E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F87"/>
    <w:multiLevelType w:val="multilevel"/>
    <w:tmpl w:val="372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4DA9"/>
    <w:multiLevelType w:val="multilevel"/>
    <w:tmpl w:val="0276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656A9"/>
    <w:multiLevelType w:val="multilevel"/>
    <w:tmpl w:val="CF72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C2F1B"/>
    <w:multiLevelType w:val="multilevel"/>
    <w:tmpl w:val="B42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E1909"/>
    <w:multiLevelType w:val="multilevel"/>
    <w:tmpl w:val="5590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C79E5"/>
    <w:multiLevelType w:val="multilevel"/>
    <w:tmpl w:val="8AE8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C5F55"/>
    <w:multiLevelType w:val="multilevel"/>
    <w:tmpl w:val="2E9A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52311"/>
    <w:multiLevelType w:val="multilevel"/>
    <w:tmpl w:val="D25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30E"/>
    <w:multiLevelType w:val="multilevel"/>
    <w:tmpl w:val="C38E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A71DA"/>
    <w:multiLevelType w:val="hybridMultilevel"/>
    <w:tmpl w:val="F1EA2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4C8A"/>
    <w:multiLevelType w:val="multilevel"/>
    <w:tmpl w:val="13F8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E53A4"/>
    <w:multiLevelType w:val="multilevel"/>
    <w:tmpl w:val="17C68C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9392812">
    <w:abstractNumId w:val="8"/>
  </w:num>
  <w:num w:numId="2" w16cid:durableId="1306623587">
    <w:abstractNumId w:val="5"/>
  </w:num>
  <w:num w:numId="3" w16cid:durableId="196624892">
    <w:abstractNumId w:val="4"/>
  </w:num>
  <w:num w:numId="4" w16cid:durableId="915089331">
    <w:abstractNumId w:val="11"/>
  </w:num>
  <w:num w:numId="5" w16cid:durableId="98377766">
    <w:abstractNumId w:val="6"/>
  </w:num>
  <w:num w:numId="6" w16cid:durableId="323896311">
    <w:abstractNumId w:val="1"/>
  </w:num>
  <w:num w:numId="7" w16cid:durableId="1354769264">
    <w:abstractNumId w:val="9"/>
  </w:num>
  <w:num w:numId="8" w16cid:durableId="455831596">
    <w:abstractNumId w:val="10"/>
  </w:num>
  <w:num w:numId="9" w16cid:durableId="1091970444">
    <w:abstractNumId w:val="0"/>
  </w:num>
  <w:num w:numId="10" w16cid:durableId="198933690">
    <w:abstractNumId w:val="2"/>
  </w:num>
  <w:num w:numId="11" w16cid:durableId="268465587">
    <w:abstractNumId w:val="7"/>
  </w:num>
  <w:num w:numId="12" w16cid:durableId="121781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1D"/>
    <w:rsid w:val="00041E67"/>
    <w:rsid w:val="0005029C"/>
    <w:rsid w:val="000E5D59"/>
    <w:rsid w:val="002C551B"/>
    <w:rsid w:val="00325951"/>
    <w:rsid w:val="00337E03"/>
    <w:rsid w:val="00393FDE"/>
    <w:rsid w:val="003D7D01"/>
    <w:rsid w:val="004C2487"/>
    <w:rsid w:val="004F43E1"/>
    <w:rsid w:val="00530CFB"/>
    <w:rsid w:val="005E4C03"/>
    <w:rsid w:val="00684F42"/>
    <w:rsid w:val="007458A3"/>
    <w:rsid w:val="007A7708"/>
    <w:rsid w:val="007F76DA"/>
    <w:rsid w:val="0099388A"/>
    <w:rsid w:val="00A04C37"/>
    <w:rsid w:val="00A05974"/>
    <w:rsid w:val="00A366D0"/>
    <w:rsid w:val="00B11F94"/>
    <w:rsid w:val="00B274BA"/>
    <w:rsid w:val="00B71C98"/>
    <w:rsid w:val="00D05ECA"/>
    <w:rsid w:val="00D6081D"/>
    <w:rsid w:val="00DB6D24"/>
    <w:rsid w:val="00DD5E1E"/>
    <w:rsid w:val="00EB5424"/>
    <w:rsid w:val="00EC1662"/>
    <w:rsid w:val="00ED236B"/>
    <w:rsid w:val="00F00EFC"/>
    <w:rsid w:val="00F414CF"/>
    <w:rsid w:val="00F75181"/>
    <w:rsid w:val="00F96879"/>
    <w:rsid w:val="00FB28C8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3266"/>
  <w15:chartTrackingRefBased/>
  <w15:docId w15:val="{253B936B-F32B-4C2C-A1D7-EB330857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8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1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08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608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08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608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81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60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608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60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60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8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608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60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608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60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60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81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6081D"/>
    <w:pPr>
      <w:spacing w:after="0"/>
    </w:pPr>
  </w:style>
  <w:style w:type="character" w:styleId="af">
    <w:name w:val="Hyperlink"/>
    <w:basedOn w:val="a0"/>
    <w:uiPriority w:val="99"/>
    <w:unhideWhenUsed/>
    <w:rsid w:val="007458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4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OPTH.S3986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36/bjophthalmol-2013-30434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o.int/publications/i/item/978924151657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ophtha.2016.04.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S0140-6736(12)60437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A944-1351-4D72-96C5-31F49F9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monrudee lomtong</dc:creator>
  <cp:keywords/>
  <dc:description/>
  <cp:lastModifiedBy>monrudee lomtong</cp:lastModifiedBy>
  <cp:revision>22</cp:revision>
  <dcterms:created xsi:type="dcterms:W3CDTF">2026-05-01T11:46:00Z</dcterms:created>
  <dcterms:modified xsi:type="dcterms:W3CDTF">2026-05-02T03:36:00Z</dcterms:modified>
</cp:coreProperties>
</file>