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0432" w14:textId="77777777" w:rsidR="00477B2F" w:rsidRPr="003A370A" w:rsidRDefault="00477B2F" w:rsidP="003A370A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370A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ระดับความมั่นใจในการกลับสู่สมดุลต่อความสามารถในการทำกิจวัตรประจำวันและการเคลื่อนไหวพื้นฐานในผู้ป่วยโรคหลอดเลือดสมองระยะกลาง</w:t>
      </w:r>
    </w:p>
    <w:p w14:paraId="1F06BD35" w14:textId="5FD26413" w:rsidR="00477B2F" w:rsidRPr="003A370A" w:rsidRDefault="00477B2F" w:rsidP="003A370A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370A">
        <w:rPr>
          <w:rFonts w:ascii="TH SarabunPSK" w:hAnsi="TH SarabunPSK" w:cs="TH SarabunPSK"/>
          <w:b/>
          <w:bCs/>
          <w:sz w:val="36"/>
          <w:szCs w:val="36"/>
        </w:rPr>
        <w:t>THE ASSOCIATION BETWEEN BALANCE RECOVERY CONFIDENCE AND ACTIVITIES OF DAILY LIVING AND BASIC MOBILITY IN PATIENTS WITH STROKE DURING INTERMEDIATE CARE</w:t>
      </w:r>
    </w:p>
    <w:p w14:paraId="589D9FBE" w14:textId="77777777" w:rsidR="003A370A" w:rsidRDefault="00477B2F" w:rsidP="003A370A">
      <w:pPr>
        <w:pStyle w:val="ae"/>
        <w:spacing w:before="0" w:beforeAutospacing="0" w:after="0" w:afterAutospacing="0"/>
        <w:jc w:val="right"/>
        <w:rPr>
          <w:rFonts w:ascii="TH SarabunPSK" w:hAnsi="TH SarabunPSK" w:cs="TH SarabunPSK"/>
          <w:sz w:val="32"/>
          <w:szCs w:val="32"/>
        </w:rPr>
      </w:pPr>
      <w:r w:rsidRPr="003A370A">
        <w:rPr>
          <w:rFonts w:ascii="TH SarabunPSK" w:hAnsi="TH SarabunPSK" w:cs="TH SarabunPSK"/>
          <w:cs/>
        </w:rPr>
        <w:t>จุณธิตา โคลงฉันท์</w:t>
      </w:r>
      <w:r w:rsidRPr="003A370A">
        <w:rPr>
          <w:rFonts w:ascii="TH SarabunPSK" w:hAnsi="TH SarabunPSK" w:cs="TH SarabunPSK"/>
          <w:sz w:val="32"/>
          <w:szCs w:val="32"/>
        </w:rPr>
        <w:t xml:space="preserve"> </w:t>
      </w:r>
    </w:p>
    <w:p w14:paraId="42B44C5E" w14:textId="40F02A90" w:rsidR="00477B2F" w:rsidRDefault="00477B2F" w:rsidP="003A370A">
      <w:pPr>
        <w:pStyle w:val="ae"/>
        <w:spacing w:before="0" w:beforeAutospacing="0" w:after="0" w:afterAutospacing="0"/>
        <w:jc w:val="right"/>
        <w:rPr>
          <w:rFonts w:ascii="TH SarabunPSK" w:hAnsi="TH SarabunPSK" w:cs="TH SarabunPSK"/>
          <w:sz w:val="12"/>
          <w:szCs w:val="12"/>
        </w:rPr>
      </w:pPr>
      <w:r w:rsidRPr="003A370A">
        <w:rPr>
          <w:rFonts w:ascii="TH SarabunPSK" w:hAnsi="TH SarabunPSK" w:cs="TH SarabunPSK"/>
          <w:sz w:val="24"/>
          <w:szCs w:val="24"/>
          <w:cs/>
        </w:rPr>
        <w:t>โรงพยาบาลกันทรลักษ์ จังหวัดศรีสะเกษ</w:t>
      </w:r>
    </w:p>
    <w:p w14:paraId="79A424FE" w14:textId="77777777" w:rsidR="00D42E3A" w:rsidRPr="00D42E3A" w:rsidRDefault="00D42E3A" w:rsidP="003A370A">
      <w:pPr>
        <w:pStyle w:val="ae"/>
        <w:spacing w:before="0" w:beforeAutospacing="0" w:after="0" w:afterAutospacing="0"/>
        <w:jc w:val="right"/>
        <w:rPr>
          <w:rFonts w:ascii="TH SarabunPSK" w:hAnsi="TH SarabunPSK" w:cs="TH SarabunPSK"/>
          <w:sz w:val="12"/>
          <w:szCs w:val="12"/>
        </w:rPr>
      </w:pPr>
    </w:p>
    <w:p w14:paraId="2F6BA4AD" w14:textId="77777777" w:rsidR="003A370A" w:rsidRDefault="00477B2F" w:rsidP="003A370A">
      <w:pPr>
        <w:pStyle w:val="ae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3A370A">
        <w:rPr>
          <w:rStyle w:val="af"/>
          <w:rFonts w:ascii="TH SarabunPSK" w:eastAsiaTheme="majorEastAsia" w:hAnsi="TH SarabunPSK" w:cs="TH SarabunPSK"/>
          <w:sz w:val="32"/>
          <w:szCs w:val="32"/>
          <w:cs/>
        </w:rPr>
        <w:t>บทนำและวัตถุประสงค์:</w:t>
      </w:r>
      <w:r w:rsidRPr="003A370A">
        <w:rPr>
          <w:rFonts w:ascii="TH SarabunPSK" w:hAnsi="TH SarabunPSK" w:cs="TH SarabunPSK"/>
          <w:sz w:val="32"/>
          <w:szCs w:val="32"/>
        </w:rPr>
        <w:t xml:space="preserve"> </w:t>
      </w:r>
      <w:r w:rsidRPr="003A370A">
        <w:rPr>
          <w:rFonts w:ascii="TH SarabunPSK" w:hAnsi="TH SarabunPSK" w:cs="TH SarabunPSK"/>
          <w:sz w:val="32"/>
          <w:szCs w:val="32"/>
          <w:cs/>
        </w:rPr>
        <w:t>โรคหลอดเลือดสมองเป็นปัญหาสาธารณสุขสำคัญที่ส่งผลให้เกิดความพิการ ภาวะพึ่งพิง และข้อจำกัดในการดำเนินชีวิตประจำวัน โดยเฉพาะในระยะกลางหรือระยะฟื้นฟูที่ผู้ป่วยมักมีปัญหาการทรงตัว การเคลื่อนไหวพื้นฐาน และความสามารถในการทำกิจวัตรประจำวันลดลง ความมั่นใจในการกลับสู่สมดุลเป็นปัจจัยด้านการรับรู้ตนเองที่อาจมีผลต่อการกล้าเคลื่อนไหว การเข้าร่วมกิจกรรมฟื้นฟู และความปลอดภัยในการปฏิบัติกิจกรรม หากผู้ป่วยมีความมั่นใจต่ำอาจหลีกเลี่ยงการเคลื่อนไหว เพิ่มความเสี่ยงต่อการหกล้ม และนำไปสู่ภาวะทุพพลภาพได้ การศึกษานี้มีวัตถุประสงค์เพื่อศึกษาความสัมพันธ์ระหว่างระดับความมั่นใจในการกลับสู่สมดุลกับความสามารถในการทำกิจวัตรประจำวันและการเคลื่อนไหวพื้นฐานในผู้ป่วยโรคหลอดเลือดสมองระยะกลาง รวมทั้งนำข้อมูลไปใช้เป็นแนวทางวางแผนฟื้นฟูสมรรถภาพและป้องกันการหกล้ม</w:t>
      </w:r>
      <w:r w:rsidRPr="003A370A">
        <w:rPr>
          <w:rStyle w:val="af"/>
          <w:rFonts w:ascii="TH SarabunPSK" w:eastAsiaTheme="majorEastAsia" w:hAnsi="TH SarabunPSK" w:cs="TH SarabunPSK"/>
          <w:sz w:val="32"/>
          <w:szCs w:val="32"/>
        </w:rPr>
        <w:t xml:space="preserve"> </w:t>
      </w:r>
      <w:r w:rsidRPr="003A370A">
        <w:rPr>
          <w:rStyle w:val="af"/>
          <w:rFonts w:ascii="TH SarabunPSK" w:eastAsiaTheme="majorEastAsia" w:hAnsi="TH SarabunPSK" w:cs="TH SarabunPSK"/>
          <w:sz w:val="32"/>
          <w:szCs w:val="32"/>
          <w:cs/>
        </w:rPr>
        <w:t>วิธีการศึกษา:</w:t>
      </w:r>
      <w:r w:rsidRPr="003A370A">
        <w:rPr>
          <w:rFonts w:ascii="TH SarabunPSK" w:hAnsi="TH SarabunPSK" w:cs="TH SarabunPSK"/>
          <w:sz w:val="32"/>
          <w:szCs w:val="32"/>
        </w:rPr>
        <w:t xml:space="preserve">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การศึกษานี้เป็นการวิจัยเชิงพรรณนาแบบภาคตัดขวาง กลุ่มตัวอย่างคือผู้ป่วยโรคหลอดเลือดสมองระยะกลางที่เข้ารับบริการทางกายภาพบำบัด ณ โรงพยาบาลกันทรลักษ์ จังหวัดศรีสะเกษ จำนวน </w:t>
      </w:r>
      <w:r w:rsidRPr="003A370A">
        <w:rPr>
          <w:rFonts w:ascii="TH SarabunPSK" w:hAnsi="TH SarabunPSK" w:cs="TH SarabunPSK"/>
          <w:sz w:val="32"/>
          <w:szCs w:val="32"/>
        </w:rPr>
        <w:t xml:space="preserve">98 </w:t>
      </w:r>
      <w:r w:rsidRPr="003A370A">
        <w:rPr>
          <w:rFonts w:ascii="TH SarabunPSK" w:hAnsi="TH SarabunPSK" w:cs="TH SarabunPSK"/>
          <w:sz w:val="32"/>
          <w:szCs w:val="32"/>
          <w:cs/>
        </w:rPr>
        <w:t>คน คัดเลือกกลุ่มตัวอย่างตามเกณฑ์ที่กำหนด เก็บรวบรวมข้อมูลทั่วไปและประเมินทางคลินิกด้วยแบบประเมินความมั่นใจในการกลับสู่สมดุลฉบับภาษาไทย (</w:t>
      </w:r>
      <w:r w:rsidRPr="003A370A">
        <w:rPr>
          <w:rFonts w:ascii="TH SarabunPSK" w:hAnsi="TH SarabunPSK" w:cs="TH SarabunPSK"/>
          <w:sz w:val="32"/>
          <w:szCs w:val="32"/>
        </w:rPr>
        <w:t xml:space="preserve">BRC-Thai)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แบบประเมินความสามารถในการทำกิจวัตรประจำวัน </w:t>
      </w:r>
      <w:r w:rsidRPr="003A370A">
        <w:rPr>
          <w:rFonts w:ascii="TH SarabunPSK" w:hAnsi="TH SarabunPSK" w:cs="TH SarabunPSK"/>
          <w:sz w:val="32"/>
          <w:szCs w:val="32"/>
        </w:rPr>
        <w:t xml:space="preserve">Barthel Index (BI)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แบบประเมินความสามารถพื้นฐานด้านการเคลื่อนไหว </w:t>
      </w:r>
      <w:r w:rsidRPr="003A370A">
        <w:rPr>
          <w:rFonts w:ascii="TH SarabunPSK" w:hAnsi="TH SarabunPSK" w:cs="TH SarabunPSK"/>
          <w:sz w:val="32"/>
          <w:szCs w:val="32"/>
        </w:rPr>
        <w:t xml:space="preserve">STREAM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ในส่วน </w:t>
      </w:r>
      <w:r w:rsidRPr="003A370A">
        <w:rPr>
          <w:rFonts w:ascii="TH SarabunPSK" w:hAnsi="TH SarabunPSK" w:cs="TH SarabunPSK"/>
          <w:sz w:val="32"/>
          <w:szCs w:val="32"/>
        </w:rPr>
        <w:t xml:space="preserve">Basic Mobility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แบบประเมินการรู้คิด </w:t>
      </w:r>
      <w:r w:rsidRPr="003A370A">
        <w:rPr>
          <w:rFonts w:ascii="TH SarabunPSK" w:hAnsi="TH SarabunPSK" w:cs="TH SarabunPSK"/>
          <w:sz w:val="32"/>
          <w:szCs w:val="32"/>
        </w:rPr>
        <w:t xml:space="preserve">MoCA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และแบบคัดกรองภาวะซึมเศร้า </w:t>
      </w:r>
      <w:r w:rsidRPr="003A370A">
        <w:rPr>
          <w:rFonts w:ascii="TH SarabunPSK" w:hAnsi="TH SarabunPSK" w:cs="TH SarabunPSK"/>
          <w:sz w:val="32"/>
          <w:szCs w:val="32"/>
        </w:rPr>
        <w:t xml:space="preserve">9Q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วิเคราะห์ข้อมูลทั่วไปด้วยสถิติเชิงพรรณนา และวิเคราะห์ความสัมพันธ์ระหว่างคะแนน </w:t>
      </w:r>
      <w:r w:rsidRPr="003A370A">
        <w:rPr>
          <w:rFonts w:ascii="TH SarabunPSK" w:hAnsi="TH SarabunPSK" w:cs="TH SarabunPSK"/>
          <w:sz w:val="32"/>
          <w:szCs w:val="32"/>
        </w:rPr>
        <w:t xml:space="preserve">BRC-Thai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Pr="003A370A">
        <w:rPr>
          <w:rFonts w:ascii="TH SarabunPSK" w:hAnsi="TH SarabunPSK" w:cs="TH SarabunPSK"/>
          <w:sz w:val="32"/>
          <w:szCs w:val="32"/>
        </w:rPr>
        <w:t xml:space="preserve">BI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A370A">
        <w:rPr>
          <w:rFonts w:ascii="TH SarabunPSK" w:hAnsi="TH SarabunPSK" w:cs="TH SarabunPSK"/>
          <w:sz w:val="32"/>
          <w:szCs w:val="32"/>
        </w:rPr>
        <w:t xml:space="preserve">Basic Mobility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ด้วยสถิติ </w:t>
      </w:r>
      <w:r w:rsidRPr="003A370A">
        <w:rPr>
          <w:rFonts w:ascii="TH SarabunPSK" w:hAnsi="TH SarabunPSK" w:cs="TH SarabunPSK"/>
          <w:sz w:val="32"/>
          <w:szCs w:val="32"/>
        </w:rPr>
        <w:t xml:space="preserve">Spearman’s rank correlation coefficient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โดยกำหนดระดับนัยสำคัญทางสถิติที่ </w:t>
      </w:r>
      <w:r w:rsidRPr="003A370A">
        <w:rPr>
          <w:rFonts w:ascii="TH SarabunPSK" w:hAnsi="TH SarabunPSK" w:cs="TH SarabunPSK"/>
          <w:sz w:val="32"/>
          <w:szCs w:val="32"/>
        </w:rPr>
        <w:t xml:space="preserve">p&lt;0.05 </w:t>
      </w:r>
    </w:p>
    <w:p w14:paraId="56DBC2B8" w14:textId="407775CC" w:rsidR="003A370A" w:rsidRDefault="00477B2F" w:rsidP="003A370A">
      <w:pPr>
        <w:pStyle w:val="ae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3A370A">
        <w:rPr>
          <w:rStyle w:val="af"/>
          <w:rFonts w:ascii="TH SarabunPSK" w:eastAsiaTheme="majorEastAsia" w:hAnsi="TH SarabunPSK" w:cs="TH SarabunPSK"/>
          <w:sz w:val="32"/>
          <w:szCs w:val="32"/>
          <w:cs/>
        </w:rPr>
        <w:t>ผลการศึกษา:</w:t>
      </w:r>
      <w:r w:rsidRPr="003A370A">
        <w:rPr>
          <w:rFonts w:ascii="TH SarabunPSK" w:hAnsi="TH SarabunPSK" w:cs="TH SarabunPSK"/>
          <w:sz w:val="32"/>
          <w:szCs w:val="32"/>
        </w:rPr>
        <w:t xml:space="preserve">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ผู้เข้าร่วมวิจัยจำนวน </w:t>
      </w:r>
      <w:r w:rsidRPr="003A370A">
        <w:rPr>
          <w:rFonts w:ascii="TH SarabunPSK" w:hAnsi="TH SarabunPSK" w:cs="TH SarabunPSK"/>
          <w:sz w:val="32"/>
          <w:szCs w:val="32"/>
        </w:rPr>
        <w:t xml:space="preserve">98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คน เป็นเพศชาย </w:t>
      </w:r>
      <w:r w:rsidRPr="003A370A">
        <w:rPr>
          <w:rFonts w:ascii="TH SarabunPSK" w:hAnsi="TH SarabunPSK" w:cs="TH SarabunPSK"/>
          <w:sz w:val="32"/>
          <w:szCs w:val="32"/>
        </w:rPr>
        <w:t xml:space="preserve">49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คน และเพศหญิง </w:t>
      </w:r>
      <w:r w:rsidRPr="003A370A">
        <w:rPr>
          <w:rFonts w:ascii="TH SarabunPSK" w:hAnsi="TH SarabunPSK" w:cs="TH SarabunPSK"/>
          <w:sz w:val="32"/>
          <w:szCs w:val="32"/>
        </w:rPr>
        <w:t xml:space="preserve">49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คน อายุเฉลี่ย </w:t>
      </w:r>
      <w:r w:rsidRPr="003A370A">
        <w:rPr>
          <w:rFonts w:ascii="TH SarabunPSK" w:hAnsi="TH SarabunPSK" w:cs="TH SarabunPSK"/>
          <w:sz w:val="32"/>
          <w:szCs w:val="32"/>
        </w:rPr>
        <w:t>59.18</w:t>
      </w:r>
      <w:r w:rsidR="00317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ปี ดัชนีมวลกายเฉลี่ย </w:t>
      </w:r>
      <w:r w:rsidRPr="003A370A">
        <w:rPr>
          <w:rFonts w:ascii="TH SarabunPSK" w:hAnsi="TH SarabunPSK" w:cs="TH SarabunPSK"/>
          <w:sz w:val="32"/>
          <w:szCs w:val="32"/>
        </w:rPr>
        <w:t>24.19</w:t>
      </w:r>
      <w:r w:rsidR="00317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กิโลกรัมต่อตารางเมตร ระยะเวลาหลังเกิดโรคหลอดเลือดสมองเฉลี่ย </w:t>
      </w:r>
      <w:r w:rsidRPr="003A370A">
        <w:rPr>
          <w:rFonts w:ascii="TH SarabunPSK" w:hAnsi="TH SarabunPSK" w:cs="TH SarabunPSK"/>
          <w:sz w:val="32"/>
          <w:szCs w:val="32"/>
        </w:rPr>
        <w:t>2.86</w:t>
      </w:r>
      <w:r w:rsidR="00317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เดือน คะแนนเฉลี่ย </w:t>
      </w:r>
      <w:r w:rsidRPr="003A370A">
        <w:rPr>
          <w:rFonts w:ascii="TH SarabunPSK" w:hAnsi="TH SarabunPSK" w:cs="TH SarabunPSK"/>
          <w:sz w:val="32"/>
          <w:szCs w:val="32"/>
        </w:rPr>
        <w:t xml:space="preserve">BRC-Thai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  <w:r w:rsidRPr="003A370A">
        <w:rPr>
          <w:rFonts w:ascii="TH SarabunPSK" w:hAnsi="TH SarabunPSK" w:cs="TH SarabunPSK"/>
          <w:sz w:val="32"/>
          <w:szCs w:val="32"/>
        </w:rPr>
        <w:t>113.99</w:t>
      </w:r>
      <w:r w:rsidR="00317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คะแนน คะแนน </w:t>
      </w:r>
      <w:r w:rsidRPr="003A370A">
        <w:rPr>
          <w:rFonts w:ascii="TH SarabunPSK" w:hAnsi="TH SarabunPSK" w:cs="TH SarabunPSK"/>
          <w:sz w:val="32"/>
          <w:szCs w:val="32"/>
        </w:rPr>
        <w:t xml:space="preserve">BI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เฉลี่ย </w:t>
      </w:r>
      <w:r w:rsidRPr="003A370A">
        <w:rPr>
          <w:rFonts w:ascii="TH SarabunPSK" w:hAnsi="TH SarabunPSK" w:cs="TH SarabunPSK"/>
          <w:sz w:val="32"/>
          <w:szCs w:val="32"/>
        </w:rPr>
        <w:t>92.19</w:t>
      </w:r>
      <w:r w:rsidR="00317B86">
        <w:rPr>
          <w:rFonts w:ascii="TH SarabunPSK" w:hAnsi="TH SarabunPSK" w:cs="TH SarabunPSK"/>
          <w:sz w:val="32"/>
          <w:szCs w:val="32"/>
        </w:rPr>
        <w:t xml:space="preserve">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คะแนน และคะแนน </w:t>
      </w:r>
      <w:r w:rsidRPr="003A370A">
        <w:rPr>
          <w:rFonts w:ascii="TH SarabunPSK" w:hAnsi="TH SarabunPSK" w:cs="TH SarabunPSK"/>
          <w:sz w:val="32"/>
          <w:szCs w:val="32"/>
        </w:rPr>
        <w:t xml:space="preserve">Basic Mobility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เฉลี่ย </w:t>
      </w:r>
      <w:r w:rsidRPr="003A370A">
        <w:rPr>
          <w:rFonts w:ascii="TH SarabunPSK" w:hAnsi="TH SarabunPSK" w:cs="TH SarabunPSK"/>
          <w:sz w:val="32"/>
          <w:szCs w:val="32"/>
        </w:rPr>
        <w:t>86.26</w:t>
      </w:r>
      <w:r w:rsidR="00317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คะแนน ผลการวิเคราะห์พบว่าคะแนน </w:t>
      </w:r>
      <w:r w:rsidRPr="003A370A">
        <w:rPr>
          <w:rFonts w:ascii="TH SarabunPSK" w:hAnsi="TH SarabunPSK" w:cs="TH SarabunPSK"/>
          <w:sz w:val="32"/>
          <w:szCs w:val="32"/>
        </w:rPr>
        <w:t xml:space="preserve">BRC-Thai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มีความสัมพันธ์เชิงบวกกับคะแนน </w:t>
      </w:r>
      <w:r w:rsidRPr="003A370A">
        <w:rPr>
          <w:rFonts w:ascii="TH SarabunPSK" w:hAnsi="TH SarabunPSK" w:cs="TH SarabunPSK"/>
          <w:sz w:val="32"/>
          <w:szCs w:val="32"/>
        </w:rPr>
        <w:t xml:space="preserve">BI </w:t>
      </w:r>
      <w:r w:rsidRPr="003A370A">
        <w:rPr>
          <w:rFonts w:ascii="TH SarabunPSK" w:hAnsi="TH SarabunPSK" w:cs="TH SarabunPSK"/>
          <w:sz w:val="32"/>
          <w:szCs w:val="32"/>
          <w:cs/>
        </w:rPr>
        <w:t>อย่างมีนัยสำคัญทางสถิติ (</w:t>
      </w:r>
      <w:r w:rsidRPr="003A370A">
        <w:rPr>
          <w:rFonts w:ascii="TH SarabunPSK" w:hAnsi="TH SarabunPSK" w:cs="TH SarabunPSK"/>
          <w:sz w:val="32"/>
          <w:szCs w:val="32"/>
        </w:rPr>
        <w:t xml:space="preserve">r=0.389, p&lt;0.001)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และมีความสัมพันธ์เชิงบวกกับคะแนน </w:t>
      </w:r>
      <w:r w:rsidRPr="003A370A">
        <w:rPr>
          <w:rFonts w:ascii="TH SarabunPSK" w:hAnsi="TH SarabunPSK" w:cs="TH SarabunPSK"/>
          <w:sz w:val="32"/>
          <w:szCs w:val="32"/>
        </w:rPr>
        <w:t xml:space="preserve">Basic Mobility </w:t>
      </w:r>
      <w:r w:rsidRPr="003A370A">
        <w:rPr>
          <w:rFonts w:ascii="TH SarabunPSK" w:hAnsi="TH SarabunPSK" w:cs="TH SarabunPSK"/>
          <w:sz w:val="32"/>
          <w:szCs w:val="32"/>
          <w:cs/>
        </w:rPr>
        <w:t>อย่างมีนัยสำคัญทางสถิติ (</w:t>
      </w:r>
      <w:r w:rsidRPr="003A370A">
        <w:rPr>
          <w:rFonts w:ascii="TH SarabunPSK" w:hAnsi="TH SarabunPSK" w:cs="TH SarabunPSK"/>
          <w:sz w:val="32"/>
          <w:szCs w:val="32"/>
        </w:rPr>
        <w:t xml:space="preserve">r=0.507, p&lt;0.001) </w:t>
      </w:r>
    </w:p>
    <w:p w14:paraId="6D96F567" w14:textId="31C7BE49" w:rsidR="00477B2F" w:rsidRPr="003A370A" w:rsidRDefault="00477B2F" w:rsidP="003A370A">
      <w:pPr>
        <w:pStyle w:val="ae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3A370A">
        <w:rPr>
          <w:rStyle w:val="af"/>
          <w:rFonts w:ascii="TH SarabunPSK" w:eastAsiaTheme="majorEastAsia" w:hAnsi="TH SarabunPSK" w:cs="TH SarabunPSK"/>
          <w:sz w:val="32"/>
          <w:szCs w:val="32"/>
          <w:cs/>
        </w:rPr>
        <w:t>อภิปรายผลและข้อเสนอแนะ:</w:t>
      </w:r>
      <w:r w:rsidRPr="003A370A">
        <w:rPr>
          <w:rFonts w:ascii="TH SarabunPSK" w:hAnsi="TH SarabunPSK" w:cs="TH SarabunPSK"/>
          <w:sz w:val="32"/>
          <w:szCs w:val="32"/>
        </w:rPr>
        <w:t xml:space="preserve"> </w:t>
      </w:r>
      <w:r w:rsidRPr="003A370A">
        <w:rPr>
          <w:rFonts w:ascii="TH SarabunPSK" w:hAnsi="TH SarabunPSK" w:cs="TH SarabunPSK"/>
          <w:sz w:val="32"/>
          <w:szCs w:val="32"/>
          <w:cs/>
        </w:rPr>
        <w:t xml:space="preserve">ผลการศึกษาสะท้อนว่าผู้ป่วยโรคหลอดเลือดสมองระยะกลางที่มีความมั่นใจในการกลับสู่สมดุลสูง มีแนวโน้มมีความสามารถในการทำกิจวัตรประจำวันและการเคลื่อนไหวพื้นฐานดีขึ้น โดยความสัมพันธ์กับการเคลื่อนไหวพื้นฐานอยู่ในระดับที่สูงกว่าความสัมพันธ์กับกิจวัตรประจำวัน เนื่องจากกิจกรรมพื้นฐาน เช่น การลุกนั่ง การยืน และการเดิน ต้องอาศัยการควบคุมสมดุลโดยตรง จึงควรนำ </w:t>
      </w:r>
      <w:r w:rsidRPr="003A370A">
        <w:rPr>
          <w:rFonts w:ascii="TH SarabunPSK" w:hAnsi="TH SarabunPSK" w:cs="TH SarabunPSK"/>
          <w:sz w:val="32"/>
          <w:szCs w:val="32"/>
        </w:rPr>
        <w:t xml:space="preserve">BRC-Thai </w:t>
      </w:r>
      <w:r w:rsidRPr="003A370A">
        <w:rPr>
          <w:rFonts w:ascii="TH SarabunPSK" w:hAnsi="TH SarabunPSK" w:cs="TH SarabunPSK"/>
          <w:sz w:val="32"/>
          <w:szCs w:val="32"/>
          <w:cs/>
        </w:rPr>
        <w:t>มาใช้ร่วมกับการประเมินทางกายภาพบำบัด เพื่อคัดกรองผู้ป่วยที่มีความมั่นใจต่ำ วางแผนฟื้นฟูที่ส่งเสริมทั้งสมรรถภาพทางกายและความมั่นใจในการเคลื่อนไหว และพัฒนาแนวทางป้องกันการหกล้มเพื่อลดภาวะทุพพลภาพในผู้ป่วยโรคหลอดเลือดสมองระยะกลาง</w:t>
      </w:r>
    </w:p>
    <w:p w14:paraId="7D0E186C" w14:textId="68CA978A" w:rsidR="00720120" w:rsidRDefault="00477B2F" w:rsidP="003A370A">
      <w:pPr>
        <w:pStyle w:val="ae"/>
        <w:rPr>
          <w:rFonts w:ascii="TH SarabunPSK" w:hAnsi="TH SarabunPSK" w:cs="TH SarabunPSK"/>
          <w:sz w:val="32"/>
          <w:szCs w:val="32"/>
        </w:rPr>
      </w:pPr>
      <w:r w:rsidRPr="003A370A">
        <w:rPr>
          <w:rStyle w:val="af"/>
          <w:rFonts w:ascii="TH SarabunPSK" w:eastAsiaTheme="majorEastAsia" w:hAnsi="TH SarabunPSK" w:cs="TH SarabunPSK"/>
          <w:sz w:val="32"/>
          <w:szCs w:val="32"/>
          <w:cs/>
        </w:rPr>
        <w:lastRenderedPageBreak/>
        <w:t>คำสำคัญ:</w:t>
      </w:r>
      <w:r w:rsidRPr="003A370A">
        <w:rPr>
          <w:rFonts w:ascii="TH SarabunPSK" w:hAnsi="TH SarabunPSK" w:cs="TH SarabunPSK"/>
          <w:sz w:val="32"/>
          <w:szCs w:val="32"/>
        </w:rPr>
        <w:t xml:space="preserve"> </w:t>
      </w:r>
      <w:r w:rsidRPr="003A370A">
        <w:rPr>
          <w:rFonts w:ascii="TH SarabunPSK" w:hAnsi="TH SarabunPSK" w:cs="TH SarabunPSK"/>
          <w:sz w:val="32"/>
          <w:szCs w:val="32"/>
          <w:cs/>
        </w:rPr>
        <w:t>ความมั่นใจในการกลับสู่สมดุล</w:t>
      </w:r>
      <w:r w:rsidRPr="003A370A">
        <w:rPr>
          <w:rFonts w:ascii="TH SarabunPSK" w:hAnsi="TH SarabunPSK" w:cs="TH SarabunPSK"/>
          <w:sz w:val="32"/>
          <w:szCs w:val="32"/>
        </w:rPr>
        <w:t xml:space="preserve">, </w:t>
      </w:r>
      <w:r w:rsidRPr="003A370A">
        <w:rPr>
          <w:rFonts w:ascii="TH SarabunPSK" w:hAnsi="TH SarabunPSK" w:cs="TH SarabunPSK"/>
          <w:sz w:val="32"/>
          <w:szCs w:val="32"/>
          <w:cs/>
        </w:rPr>
        <w:t>โรคหลอดเลือดสมอง</w:t>
      </w:r>
      <w:r w:rsidRPr="003A370A">
        <w:rPr>
          <w:rFonts w:ascii="TH SarabunPSK" w:hAnsi="TH SarabunPSK" w:cs="TH SarabunPSK"/>
          <w:sz w:val="32"/>
          <w:szCs w:val="32"/>
        </w:rPr>
        <w:t xml:space="preserve">, </w:t>
      </w:r>
      <w:r w:rsidRPr="003A370A">
        <w:rPr>
          <w:rFonts w:ascii="TH SarabunPSK" w:hAnsi="TH SarabunPSK" w:cs="TH SarabunPSK"/>
          <w:sz w:val="32"/>
          <w:szCs w:val="32"/>
          <w:cs/>
        </w:rPr>
        <w:t>กิจวัตรประจำวัน</w:t>
      </w:r>
      <w:r w:rsidRPr="003A370A">
        <w:rPr>
          <w:rFonts w:ascii="TH SarabunPSK" w:hAnsi="TH SarabunPSK" w:cs="TH SarabunPSK"/>
          <w:sz w:val="32"/>
          <w:szCs w:val="32"/>
        </w:rPr>
        <w:t xml:space="preserve">, </w:t>
      </w:r>
      <w:r w:rsidRPr="003A370A">
        <w:rPr>
          <w:rFonts w:ascii="TH SarabunPSK" w:hAnsi="TH SarabunPSK" w:cs="TH SarabunPSK"/>
          <w:sz w:val="32"/>
          <w:szCs w:val="32"/>
          <w:cs/>
        </w:rPr>
        <w:t>การเคลื่อนไหวพื้นฐาน</w:t>
      </w:r>
      <w:r w:rsidRPr="003A370A">
        <w:rPr>
          <w:rFonts w:ascii="TH SarabunPSK" w:hAnsi="TH SarabunPSK" w:cs="TH SarabunPSK"/>
          <w:sz w:val="32"/>
          <w:szCs w:val="32"/>
        </w:rPr>
        <w:t xml:space="preserve">, </w:t>
      </w:r>
      <w:r w:rsidRPr="003A370A">
        <w:rPr>
          <w:rFonts w:ascii="TH SarabunPSK" w:hAnsi="TH SarabunPSK" w:cs="TH SarabunPSK"/>
          <w:sz w:val="32"/>
          <w:szCs w:val="32"/>
          <w:cs/>
        </w:rPr>
        <w:t>การป้องกันการหกล้ม</w:t>
      </w:r>
    </w:p>
    <w:p w14:paraId="1F015CBD" w14:textId="6B06E2A7" w:rsidR="00D42E3A" w:rsidRPr="00302179" w:rsidRDefault="00D42E3A" w:rsidP="00302179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217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77A3810B" w14:textId="77777777" w:rsidR="00302179" w:rsidRDefault="00302179" w:rsidP="00302179">
      <w:pPr>
        <w:pStyle w:val="ae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302179">
        <w:rPr>
          <w:rFonts w:ascii="TH SarabunPSK" w:hAnsi="TH SarabunPSK" w:cs="TH SarabunPSK"/>
          <w:sz w:val="32"/>
          <w:szCs w:val="32"/>
        </w:rPr>
        <w:t xml:space="preserve">An S, Lee Y, Lee D, Cho KH, Lee G, Park DS. Discriminative and predictive validity of the short-form activities-specific balance confidence scale for predicting fall of stroke survivors. J Phys Ther Sci. </w:t>
      </w:r>
      <w:r w:rsidRPr="00302179">
        <w:rPr>
          <w:rFonts w:ascii="TH SarabunPSK" w:hAnsi="TH SarabunPSK" w:cs="TH SarabunPSK"/>
          <w:sz w:val="32"/>
          <w:szCs w:val="32"/>
          <w:cs/>
        </w:rPr>
        <w:t>2017</w:t>
      </w:r>
      <w:r w:rsidRPr="00302179">
        <w:rPr>
          <w:rFonts w:ascii="TH SarabunPSK" w:hAnsi="TH SarabunPSK" w:cs="TH SarabunPSK"/>
          <w:sz w:val="32"/>
          <w:szCs w:val="32"/>
        </w:rPr>
        <w:t>;</w:t>
      </w:r>
      <w:r w:rsidRPr="00302179">
        <w:rPr>
          <w:rFonts w:ascii="TH SarabunPSK" w:hAnsi="TH SarabunPSK" w:cs="TH SarabunPSK"/>
          <w:sz w:val="32"/>
          <w:szCs w:val="32"/>
          <w:cs/>
        </w:rPr>
        <w:t xml:space="preserve">29(4):716-21. </w:t>
      </w:r>
    </w:p>
    <w:p w14:paraId="2EECEA2E" w14:textId="793A4B20" w:rsidR="00302179" w:rsidRPr="00302179" w:rsidRDefault="00302179" w:rsidP="00302179">
      <w:pPr>
        <w:pStyle w:val="ae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302179">
        <w:rPr>
          <w:rFonts w:ascii="TH SarabunPSK" w:hAnsi="TH SarabunPSK" w:cs="TH SarabunPSK"/>
          <w:sz w:val="32"/>
          <w:szCs w:val="32"/>
        </w:rPr>
        <w:t xml:space="preserve">Bandura A. Health promotion by social cognitive means. Health Educ Behav. </w:t>
      </w:r>
      <w:r w:rsidRPr="00302179">
        <w:rPr>
          <w:rFonts w:ascii="TH SarabunPSK" w:hAnsi="TH SarabunPSK" w:cs="TH SarabunPSK"/>
          <w:sz w:val="32"/>
          <w:szCs w:val="32"/>
          <w:cs/>
        </w:rPr>
        <w:t>2004</w:t>
      </w:r>
      <w:r w:rsidRPr="00302179">
        <w:rPr>
          <w:rFonts w:ascii="TH SarabunPSK" w:hAnsi="TH SarabunPSK" w:cs="TH SarabunPSK"/>
          <w:sz w:val="32"/>
          <w:szCs w:val="32"/>
        </w:rPr>
        <w:t>;</w:t>
      </w:r>
      <w:r w:rsidRPr="00302179">
        <w:rPr>
          <w:rFonts w:ascii="TH SarabunPSK" w:hAnsi="TH SarabunPSK" w:cs="TH SarabunPSK"/>
          <w:sz w:val="32"/>
          <w:szCs w:val="32"/>
          <w:cs/>
        </w:rPr>
        <w:t xml:space="preserve">31:143-64. </w:t>
      </w:r>
    </w:p>
    <w:p w14:paraId="16E1CD3E" w14:textId="77777777" w:rsidR="009F519C" w:rsidRDefault="00302179" w:rsidP="009F519C">
      <w:pPr>
        <w:pStyle w:val="ae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302179">
        <w:rPr>
          <w:rFonts w:ascii="TH SarabunPSK" w:hAnsi="TH SarabunPSK" w:cs="TH SarabunPSK"/>
          <w:sz w:val="32"/>
          <w:szCs w:val="32"/>
        </w:rPr>
        <w:t xml:space="preserve">Faria-Fortini I, Polese JC, Faria C, Scianni AA, Nascimento LR, Teixeira-Salmela LF. Fall efficacy scale-international cut-off score discriminates fallers and non-fallers individuals who have had stroke. J Bodyw Mov Ther. </w:t>
      </w:r>
      <w:r w:rsidRPr="00302179">
        <w:rPr>
          <w:rFonts w:ascii="TH SarabunPSK" w:hAnsi="TH SarabunPSK" w:cs="TH SarabunPSK"/>
          <w:sz w:val="32"/>
          <w:szCs w:val="32"/>
          <w:cs/>
        </w:rPr>
        <w:t>2021</w:t>
      </w:r>
      <w:r w:rsidRPr="00302179">
        <w:rPr>
          <w:rFonts w:ascii="TH SarabunPSK" w:hAnsi="TH SarabunPSK" w:cs="TH SarabunPSK"/>
          <w:sz w:val="32"/>
          <w:szCs w:val="32"/>
        </w:rPr>
        <w:t>;</w:t>
      </w:r>
      <w:r w:rsidRPr="00302179">
        <w:rPr>
          <w:rFonts w:ascii="TH SarabunPSK" w:hAnsi="TH SarabunPSK" w:cs="TH SarabunPSK"/>
          <w:sz w:val="32"/>
          <w:szCs w:val="32"/>
          <w:cs/>
        </w:rPr>
        <w:t xml:space="preserve">26:167-73. </w:t>
      </w:r>
    </w:p>
    <w:p w14:paraId="35AC79E1" w14:textId="49049244" w:rsidR="00302179" w:rsidRPr="00302179" w:rsidRDefault="00302179" w:rsidP="009F519C">
      <w:pPr>
        <w:pStyle w:val="ae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302179">
        <w:rPr>
          <w:rFonts w:ascii="TH SarabunPSK" w:hAnsi="TH SarabunPSK" w:cs="TH SarabunPSK"/>
          <w:sz w:val="32"/>
          <w:szCs w:val="32"/>
        </w:rPr>
        <w:t xml:space="preserve">Kim EJ, Kim DY, Kim WH, Lee KL, Yoon YH, Park JM, et al. Fear of falling in subacute hemiplegic stroke patients: Associating factors and correlations with quality of life. Ann Rehabil Med. </w:t>
      </w:r>
      <w:r w:rsidRPr="00302179">
        <w:rPr>
          <w:rFonts w:ascii="TH SarabunPSK" w:hAnsi="TH SarabunPSK" w:cs="TH SarabunPSK"/>
          <w:sz w:val="32"/>
          <w:szCs w:val="32"/>
          <w:cs/>
        </w:rPr>
        <w:t>2012</w:t>
      </w:r>
      <w:r w:rsidRPr="00302179">
        <w:rPr>
          <w:rFonts w:ascii="TH SarabunPSK" w:hAnsi="TH SarabunPSK" w:cs="TH SarabunPSK"/>
          <w:sz w:val="32"/>
          <w:szCs w:val="32"/>
        </w:rPr>
        <w:t>;</w:t>
      </w:r>
      <w:r w:rsidRPr="00302179">
        <w:rPr>
          <w:rFonts w:ascii="TH SarabunPSK" w:hAnsi="TH SarabunPSK" w:cs="TH SarabunPSK"/>
          <w:sz w:val="32"/>
          <w:szCs w:val="32"/>
          <w:cs/>
        </w:rPr>
        <w:t xml:space="preserve">36(6):797-803. </w:t>
      </w:r>
    </w:p>
    <w:p w14:paraId="34CC7E7C" w14:textId="77777777" w:rsidR="00302179" w:rsidRPr="00302179" w:rsidRDefault="00302179" w:rsidP="009F519C">
      <w:pPr>
        <w:pStyle w:val="ae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302179">
        <w:rPr>
          <w:rFonts w:ascii="TH SarabunPSK" w:hAnsi="TH SarabunPSK" w:cs="TH SarabunPSK"/>
          <w:sz w:val="32"/>
          <w:szCs w:val="32"/>
        </w:rPr>
        <w:t xml:space="preserve">Nanthapaiboon K, Wannapakhe J, Viriyatarakij N, Boonsinsukh R. Assessment of internal consistency and convergent validity of the activities-specific balance confidence (abc) scale thai version. Health science journal. </w:t>
      </w:r>
      <w:r w:rsidRPr="00302179">
        <w:rPr>
          <w:rFonts w:ascii="TH SarabunPSK" w:hAnsi="TH SarabunPSK" w:cs="TH SarabunPSK"/>
          <w:sz w:val="32"/>
          <w:szCs w:val="32"/>
          <w:cs/>
        </w:rPr>
        <w:t>2021</w:t>
      </w:r>
      <w:r w:rsidRPr="00302179">
        <w:rPr>
          <w:rFonts w:ascii="TH SarabunPSK" w:hAnsi="TH SarabunPSK" w:cs="TH SarabunPSK"/>
          <w:sz w:val="32"/>
          <w:szCs w:val="32"/>
        </w:rPr>
        <w:t>;</w:t>
      </w:r>
      <w:r w:rsidRPr="00302179">
        <w:rPr>
          <w:rFonts w:ascii="TH SarabunPSK" w:hAnsi="TH SarabunPSK" w:cs="TH SarabunPSK"/>
          <w:sz w:val="32"/>
          <w:szCs w:val="32"/>
          <w:cs/>
        </w:rPr>
        <w:t>13:1-7.</w:t>
      </w:r>
    </w:p>
    <w:p w14:paraId="241D3B68" w14:textId="49851E64" w:rsidR="00302179" w:rsidRPr="00302179" w:rsidRDefault="00302179" w:rsidP="009F519C">
      <w:pPr>
        <w:pStyle w:val="ae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302179">
        <w:rPr>
          <w:rFonts w:ascii="TH SarabunPSK" w:hAnsi="TH SarabunPSK" w:cs="TH SarabunPSK"/>
          <w:sz w:val="32"/>
          <w:szCs w:val="32"/>
        </w:rPr>
        <w:t xml:space="preserve">Soh SL, Lane J, Xu T, Gleeson N, Tan CW. Falls efficacy instruments for community-dwelling older adults: A cosmin-based systematic review. BMC Geriatr. </w:t>
      </w:r>
      <w:r w:rsidRPr="00302179">
        <w:rPr>
          <w:rFonts w:ascii="TH SarabunPSK" w:hAnsi="TH SarabunPSK" w:cs="TH SarabunPSK"/>
          <w:sz w:val="32"/>
          <w:szCs w:val="32"/>
          <w:cs/>
        </w:rPr>
        <w:t>2021</w:t>
      </w:r>
      <w:r w:rsidRPr="00302179">
        <w:rPr>
          <w:rFonts w:ascii="TH SarabunPSK" w:hAnsi="TH SarabunPSK" w:cs="TH SarabunPSK"/>
          <w:sz w:val="32"/>
          <w:szCs w:val="32"/>
        </w:rPr>
        <w:t>;</w:t>
      </w:r>
      <w:r w:rsidRPr="00302179">
        <w:rPr>
          <w:rFonts w:ascii="TH SarabunPSK" w:hAnsi="TH SarabunPSK" w:cs="TH SarabunPSK"/>
          <w:sz w:val="32"/>
          <w:szCs w:val="32"/>
          <w:cs/>
        </w:rPr>
        <w:t xml:space="preserve">21(1):21. </w:t>
      </w:r>
    </w:p>
    <w:p w14:paraId="107CCEE3" w14:textId="5AFB22AE" w:rsidR="00302179" w:rsidRPr="00302179" w:rsidRDefault="00302179" w:rsidP="009F519C">
      <w:pPr>
        <w:pStyle w:val="ae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302179">
        <w:rPr>
          <w:rFonts w:ascii="TH SarabunPSK" w:hAnsi="TH SarabunPSK" w:cs="TH SarabunPSK"/>
          <w:sz w:val="32"/>
          <w:szCs w:val="32"/>
        </w:rPr>
        <w:t xml:space="preserve">Soh SL, Tan CW, Thomas JI, Tan G, Xu T, Ng YL, et al. Falls efficacy: Extending the understanding of self-efficacy in older adults towards managing falls. J Frailty Sarcopenia Falls. </w:t>
      </w:r>
      <w:r w:rsidRPr="00302179">
        <w:rPr>
          <w:rFonts w:ascii="TH SarabunPSK" w:hAnsi="TH SarabunPSK" w:cs="TH SarabunPSK"/>
          <w:sz w:val="32"/>
          <w:szCs w:val="32"/>
          <w:cs/>
        </w:rPr>
        <w:t>2021</w:t>
      </w:r>
      <w:r w:rsidRPr="00302179">
        <w:rPr>
          <w:rFonts w:ascii="TH SarabunPSK" w:hAnsi="TH SarabunPSK" w:cs="TH SarabunPSK"/>
          <w:sz w:val="32"/>
          <w:szCs w:val="32"/>
        </w:rPr>
        <w:t>;</w:t>
      </w:r>
      <w:r w:rsidRPr="00302179">
        <w:rPr>
          <w:rFonts w:ascii="TH SarabunPSK" w:hAnsi="TH SarabunPSK" w:cs="TH SarabunPSK"/>
          <w:sz w:val="32"/>
          <w:szCs w:val="32"/>
          <w:cs/>
        </w:rPr>
        <w:t xml:space="preserve">6:131-8. </w:t>
      </w:r>
    </w:p>
    <w:p w14:paraId="541BEB1C" w14:textId="1F19A698" w:rsidR="00D42E3A" w:rsidRPr="003A370A" w:rsidRDefault="00302179" w:rsidP="009F519C">
      <w:pPr>
        <w:pStyle w:val="ae"/>
        <w:spacing w:before="0" w:beforeAutospacing="0" w:after="0" w:afterAutospacing="0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302179">
        <w:rPr>
          <w:rFonts w:ascii="TH SarabunPSK" w:hAnsi="TH SarabunPSK" w:cs="TH SarabunPSK"/>
          <w:sz w:val="32"/>
          <w:szCs w:val="32"/>
        </w:rPr>
        <w:t xml:space="preserve">Thiamwong L. Psychometric testing of the falls efficacy scale-international. Journal of Health Science and Medical Research (JHSMR). </w:t>
      </w:r>
      <w:r w:rsidRPr="00302179">
        <w:rPr>
          <w:rFonts w:ascii="TH SarabunPSK" w:hAnsi="TH SarabunPSK" w:cs="TH SarabunPSK"/>
          <w:sz w:val="32"/>
          <w:szCs w:val="32"/>
          <w:cs/>
        </w:rPr>
        <w:t>2012</w:t>
      </w:r>
      <w:r w:rsidRPr="00302179">
        <w:rPr>
          <w:rFonts w:ascii="TH SarabunPSK" w:hAnsi="TH SarabunPSK" w:cs="TH SarabunPSK"/>
          <w:sz w:val="32"/>
          <w:szCs w:val="32"/>
        </w:rPr>
        <w:t>;</w:t>
      </w:r>
      <w:r w:rsidRPr="00302179">
        <w:rPr>
          <w:rFonts w:ascii="TH SarabunPSK" w:hAnsi="TH SarabunPSK" w:cs="TH SarabunPSK"/>
          <w:sz w:val="32"/>
          <w:szCs w:val="32"/>
          <w:cs/>
        </w:rPr>
        <w:t>29.</w:t>
      </w:r>
    </w:p>
    <w:sectPr w:rsidR="00D42E3A" w:rsidRPr="003A3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2F"/>
    <w:rsid w:val="00210F70"/>
    <w:rsid w:val="00302179"/>
    <w:rsid w:val="00317B86"/>
    <w:rsid w:val="003A370A"/>
    <w:rsid w:val="00464F29"/>
    <w:rsid w:val="00477B2F"/>
    <w:rsid w:val="006701B0"/>
    <w:rsid w:val="00720120"/>
    <w:rsid w:val="009F519C"/>
    <w:rsid w:val="00B734AC"/>
    <w:rsid w:val="00CF00E4"/>
    <w:rsid w:val="00D42E3A"/>
    <w:rsid w:val="00FE2852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7387"/>
  <w15:chartTrackingRefBased/>
  <w15:docId w15:val="{675B7962-1CB4-4579-94B5-4300D6B3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B2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B2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B2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B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77B2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77B2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77B2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77B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77B2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77B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77B2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77B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77B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7B2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77B2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77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77B2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77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77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77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B2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77B2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af">
    <w:name w:val="Strong"/>
    <w:basedOn w:val="a0"/>
    <w:uiPriority w:val="22"/>
    <w:qFormat/>
    <w:rsid w:val="00477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จุณธิตา ตระกูลทาเสนาะ</dc:creator>
  <cp:keywords/>
  <dc:description/>
  <cp:lastModifiedBy>จุณธิตา ตระกูลทาเสนาะ</cp:lastModifiedBy>
  <cp:revision>2</cp:revision>
  <cp:lastPrinted>2026-05-06T09:27:00Z</cp:lastPrinted>
  <dcterms:created xsi:type="dcterms:W3CDTF">2026-05-07T02:55:00Z</dcterms:created>
  <dcterms:modified xsi:type="dcterms:W3CDTF">2026-05-07T02:55:00Z</dcterms:modified>
</cp:coreProperties>
</file>