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1A" w:rsidRPr="004F38DC" w:rsidRDefault="00372AB8" w:rsidP="00D9241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38DC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การศึกษาประสิทธิผลของตำรับยาทาพระเส้นเพื่อการลดอาการปวดเข่าในผู้ป่วยข้อเข่าเสื่อม</w:t>
      </w:r>
    </w:p>
    <w:p w:rsidR="004F38DC" w:rsidRPr="004C72C1" w:rsidRDefault="004F38DC" w:rsidP="004F38DC">
      <w:pPr>
        <w:jc w:val="center"/>
        <w:rPr>
          <w:rFonts w:ascii="TH SarabunPSK" w:hAnsi="TH SarabunPSK" w:cs="TH SarabunPSK"/>
          <w:sz w:val="24"/>
          <w:szCs w:val="24"/>
        </w:rPr>
      </w:pPr>
      <w:r w:rsidRPr="004C72C1">
        <w:rPr>
          <w:rFonts w:ascii="TH SarabunPSK" w:hAnsi="TH SarabunPSK" w:cs="TH SarabunPSK"/>
          <w:b/>
          <w:bCs/>
          <w:sz w:val="28"/>
          <w:szCs w:val="28"/>
        </w:rPr>
        <w:t>EFFECTIVENESS OF YA-THA-PHRA-SEN FOR PAIN REDUCING IN KNEE OSTEOARTHRITIS PATIENTS</w:t>
      </w:r>
    </w:p>
    <w:p w:rsidR="00D9241A" w:rsidRPr="004F38DC" w:rsidRDefault="004069D7" w:rsidP="00D9241A">
      <w:pPr>
        <w:jc w:val="right"/>
        <w:rPr>
          <w:rFonts w:ascii="TH SarabunPSK" w:hAnsi="TH SarabunPSK" w:cs="TH SarabunPSK"/>
          <w:sz w:val="28"/>
          <w:szCs w:val="28"/>
        </w:rPr>
      </w:pPr>
      <w:r w:rsidRPr="004F38DC">
        <w:rPr>
          <w:rFonts w:ascii="TH SarabunPSK" w:hAnsi="TH SarabunPSK" w:cs="TH SarabunPSK"/>
          <w:sz w:val="28"/>
          <w:szCs w:val="28"/>
          <w:cs/>
        </w:rPr>
        <w:t>นางสาวกันต์ฤทัย  บำรุงเกตุอุดม</w:t>
      </w:r>
    </w:p>
    <w:p w:rsidR="004069D7" w:rsidRPr="009A466E" w:rsidRDefault="004069D7" w:rsidP="004F38DC">
      <w:pPr>
        <w:tabs>
          <w:tab w:val="left" w:pos="3723"/>
          <w:tab w:val="center" w:pos="4513"/>
        </w:tabs>
        <w:jc w:val="right"/>
        <w:rPr>
          <w:rFonts w:ascii="TH SarabunPSK" w:hAnsi="TH SarabunPSK" w:cs="TH SarabunPSK"/>
          <w:sz w:val="20"/>
          <w:szCs w:val="20"/>
          <w:cs/>
        </w:rPr>
      </w:pPr>
      <w:r w:rsidRPr="009A466E">
        <w:rPr>
          <w:rFonts w:ascii="TH SarabunPSK" w:hAnsi="TH SarabunPSK" w:cs="TH SarabunPSK"/>
          <w:sz w:val="24"/>
          <w:szCs w:val="24"/>
          <w:cs/>
        </w:rPr>
        <w:t>กลุ่มงานกา</w:t>
      </w:r>
      <w:r w:rsidR="004F38DC" w:rsidRPr="009A466E">
        <w:rPr>
          <w:rFonts w:ascii="TH SarabunPSK" w:hAnsi="TH SarabunPSK" w:cs="TH SarabunPSK"/>
          <w:sz w:val="24"/>
          <w:szCs w:val="24"/>
          <w:cs/>
        </w:rPr>
        <w:t>รแพทย์แผนไทยและการแพทย์ทางเลือก</w:t>
      </w:r>
      <w:r w:rsidRPr="009A466E">
        <w:rPr>
          <w:rFonts w:ascii="TH SarabunPSK" w:hAnsi="TH SarabunPSK" w:cs="TH SarabunPSK"/>
          <w:sz w:val="24"/>
          <w:szCs w:val="24"/>
          <w:cs/>
        </w:rPr>
        <w:t xml:space="preserve"> โรงพยาบาลศรีสะเกษ</w:t>
      </w:r>
    </w:p>
    <w:p w:rsidR="00F36C82" w:rsidRPr="004C72C1" w:rsidRDefault="004F38DC" w:rsidP="00F36C82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บทนำและวัตถุประสงค์</w:t>
      </w:r>
      <w:r w:rsidR="00F36C82">
        <w:rPr>
          <w:rFonts w:ascii="TH SarabunPSK" w:hAnsi="TH SarabunPSK" w:cs="TH SarabunPSK"/>
          <w:b/>
          <w:bCs/>
        </w:rPr>
        <w:t xml:space="preserve">: </w:t>
      </w:r>
      <w:r w:rsidR="00A037D9">
        <w:rPr>
          <w:rFonts w:ascii="TH SarabunPSK" w:hAnsi="TH SarabunPSK" w:cs="TH SarabunPSK"/>
          <w:cs/>
        </w:rPr>
        <w:t>โรคข้อเข่าเสื่อม</w:t>
      </w:r>
      <w:r w:rsidR="00F36C82" w:rsidRPr="00DA1EBA">
        <w:rPr>
          <w:rFonts w:ascii="TH SarabunPSK" w:hAnsi="TH SarabunPSK" w:cs="TH SarabunPSK"/>
          <w:cs/>
        </w:rPr>
        <w:t xml:space="preserve">เป็นโรคเรื้อรังที่พบได้บ่อย </w:t>
      </w:r>
      <w:r w:rsidR="00CB6782">
        <w:rPr>
          <w:rFonts w:ascii="TH SarabunPSK" w:hAnsi="TH SarabunPSK" w:cs="TH SarabunPSK" w:hint="cs"/>
          <w:cs/>
        </w:rPr>
        <w:t>โ</w:t>
      </w:r>
      <w:r w:rsidR="00F36C82" w:rsidRPr="00DA1EBA">
        <w:rPr>
          <w:rFonts w:ascii="TH SarabunPSK" w:hAnsi="TH SarabunPSK" w:cs="TH SarabunPSK"/>
          <w:cs/>
        </w:rPr>
        <w:t>ดยเฉพาะในกลุ่มผู้สูงอายุ ซึ่งเกิดจากการเสื่อมสภาพของกระดูกอ่อนผิวข้อและโครงสร้างภายในข้อ ทำให้เกิดอาการปวดบวมและจำกัดการเคลื่อนไหวของข้อเข่า แนวทางการรักษาในปัจจุบันมักใช้ยาในกลุ่มต</w:t>
      </w:r>
      <w:r w:rsidR="00E05778">
        <w:rPr>
          <w:rFonts w:ascii="TH SarabunPSK" w:hAnsi="TH SarabunPSK" w:cs="TH SarabunPSK"/>
          <w:cs/>
        </w:rPr>
        <w:t xml:space="preserve">้านการอักเสบที่ไม่ใช่สเตียรอยด์ </w:t>
      </w:r>
      <w:r w:rsidR="00F36C82" w:rsidRPr="00DA1EBA">
        <w:rPr>
          <w:rFonts w:ascii="TH SarabunPSK" w:hAnsi="TH SarabunPSK" w:cs="TH SarabunPSK"/>
          <w:cs/>
        </w:rPr>
        <w:t>เพื่อบรรเทาอาการปวดและการอักเสบของข้อ การใช้ยาดังกล่าวในระยะยาวอาจก่อให้เกิดผลข้างเคียง เช่น การระคายเคือง</w:t>
      </w:r>
      <w:r w:rsidR="00425EB4">
        <w:rPr>
          <w:rFonts w:ascii="TH SarabunPSK" w:hAnsi="TH SarabunPSK" w:cs="TH SarabunPSK" w:hint="cs"/>
          <w:cs/>
        </w:rPr>
        <w:br/>
        <w:t>ก</w:t>
      </w:r>
      <w:r w:rsidR="00F36C82" w:rsidRPr="00DA1EBA">
        <w:rPr>
          <w:rFonts w:ascii="TH SarabunPSK" w:hAnsi="TH SarabunPSK" w:cs="TH SarabunPSK"/>
          <w:cs/>
        </w:rPr>
        <w:t>ระเพาะอาหาร หรือการทำงานของไตลดลง ตามทฤษฎีการแพทย์แผนไทย อาการปวดข้อเกิดจากภา</w:t>
      </w:r>
      <w:r w:rsidR="00284D9F">
        <w:rPr>
          <w:rFonts w:ascii="TH SarabunPSK" w:hAnsi="TH SarabunPSK" w:cs="TH SarabunPSK"/>
          <w:cs/>
        </w:rPr>
        <w:t>วะ</w:t>
      </w:r>
      <w:r w:rsidR="00F36C82" w:rsidRPr="00DA1EBA">
        <w:rPr>
          <w:rFonts w:ascii="TH SarabunPSK" w:hAnsi="TH SarabunPSK" w:cs="TH SarabunPSK"/>
          <w:cs/>
        </w:rPr>
        <w:t>ลมกำเริบ</w:t>
      </w:r>
      <w:r w:rsidR="00F36C82" w:rsidRPr="00DA1EBA">
        <w:rPr>
          <w:rFonts w:ascii="TH SarabunPSK" w:hAnsi="TH SarabunPSK" w:cs="TH SarabunPSK"/>
        </w:rPr>
        <w:t xml:space="preserve"> </w:t>
      </w:r>
      <w:r w:rsidR="00F36C82" w:rsidRPr="00DA1EBA">
        <w:rPr>
          <w:rFonts w:ascii="TH SarabunPSK" w:hAnsi="TH SarabunPSK" w:cs="TH SarabunPSK"/>
          <w:cs/>
        </w:rPr>
        <w:t>ส่งผลให้กล้ามเนื้อตึงแข็ง การไหลเวียนของเลือดและลมไม่สะดวก การรักษาจึงเน้นการทำให้เลือดและลมไหลเวียนดีขึ้น โดยใช้วิธีการนวด การประคบสมุนไพร และการใช้ยาสมุนไพรที่มีสรรพคุณช่วยลดอาการปวด ตำรับยาทาพระเส้นเป็นตำรับยาสมุนไพรไทย</w:t>
      </w:r>
      <w:r w:rsidR="00425EB4">
        <w:rPr>
          <w:rFonts w:ascii="TH SarabunPSK" w:hAnsi="TH SarabunPSK" w:cs="TH SarabunPSK" w:hint="cs"/>
          <w:cs/>
        </w:rPr>
        <w:t>ที่</w:t>
      </w:r>
      <w:r w:rsidR="00425EB4" w:rsidRPr="00DA1EBA">
        <w:rPr>
          <w:rFonts w:ascii="TH SarabunPSK" w:hAnsi="TH SarabunPSK" w:cs="TH SarabunPSK"/>
          <w:cs/>
        </w:rPr>
        <w:t>มีการบันทึกไว้ในตำราโอสถพระนารายณ์</w:t>
      </w:r>
      <w:r w:rsidR="00F36C82" w:rsidRPr="00DA1EBA">
        <w:rPr>
          <w:rFonts w:ascii="TH SarabunPSK" w:hAnsi="TH SarabunPSK" w:cs="TH SarabunPSK"/>
          <w:cs/>
        </w:rPr>
        <w:t>ใช้ส</w:t>
      </w:r>
      <w:r w:rsidR="00284D9F">
        <w:rPr>
          <w:rFonts w:ascii="TH SarabunPSK" w:hAnsi="TH SarabunPSK" w:cs="TH SarabunPSK"/>
          <w:cs/>
        </w:rPr>
        <w:t>ำหรับทาบรรเทาอาการปวด</w:t>
      </w:r>
      <w:r w:rsidR="00F36C82" w:rsidRPr="00DA1EBA">
        <w:rPr>
          <w:rFonts w:ascii="TH SarabunPSK" w:hAnsi="TH SarabunPSK" w:cs="TH SarabunPSK"/>
          <w:cs/>
        </w:rPr>
        <w:t xml:space="preserve">กล้ามเนื้อ ประกอบด้วยยาสมุนไพรทั้งสิ้น </w:t>
      </w:r>
      <w:r w:rsidR="00F36C82" w:rsidRPr="00DA1EBA">
        <w:rPr>
          <w:rFonts w:ascii="TH SarabunPSK" w:hAnsi="TH SarabunPSK" w:cs="TH SarabunPSK"/>
        </w:rPr>
        <w:t xml:space="preserve">13 </w:t>
      </w:r>
      <w:r w:rsidR="00F36C82" w:rsidRPr="00DA1EBA">
        <w:rPr>
          <w:rFonts w:ascii="TH SarabunPSK" w:hAnsi="TH SarabunPSK" w:cs="TH SarabunPSK"/>
          <w:cs/>
        </w:rPr>
        <w:t>ชนิด ได้แก่ พริกไทย ข่า กระชาย หอม กระเทียม มหาหิงคุ์ ยาดำ ตะไคร้หอม ใบขี้เหล็ก ใบตองแตก ใบมะขาม ใบเลี่ยน และใบมะคำไก่ ผู้วิจัยจึงมีความสนใจดำเนินการศึกษางานวิจัยนี้ โดยมีวัตถุประสงค์ เพื่อศึกษาประสิทธิผลของตำรับยาทาพระเส้นในการลดอาการปวดเข่าในผู้ป่วยข้อเข่าเสื่อม</w:t>
      </w:r>
      <w:r w:rsidR="00284D9F">
        <w:rPr>
          <w:rFonts w:ascii="TH SarabunPSK" w:hAnsi="TH SarabunPSK" w:cs="TH SarabunPSK"/>
          <w:b/>
          <w:bCs/>
        </w:rPr>
        <w:t xml:space="preserve"> </w:t>
      </w:r>
      <w:r w:rsidR="00F36C82">
        <w:rPr>
          <w:rFonts w:ascii="TH SarabunPSK" w:hAnsi="TH SarabunPSK" w:cs="TH SarabunPSK" w:hint="cs"/>
          <w:b/>
          <w:bCs/>
          <w:cs/>
        </w:rPr>
        <w:t xml:space="preserve">วิธีการศึกษา </w:t>
      </w:r>
      <w:r w:rsidR="00F36C82">
        <w:rPr>
          <w:rFonts w:ascii="TH SarabunPSK" w:hAnsi="TH SarabunPSK" w:cs="TH SarabunPSK"/>
          <w:b/>
          <w:bCs/>
        </w:rPr>
        <w:t xml:space="preserve">: </w:t>
      </w:r>
      <w:r w:rsidR="009177D4" w:rsidRPr="00855FAC">
        <w:rPr>
          <w:rFonts w:ascii="TH SarabunPSK" w:hAnsi="TH SarabunPSK" w:cs="TH SarabunPSK"/>
          <w:cs/>
        </w:rPr>
        <w:t>เป็นการศึกษาแบบกึ่งทดลอง</w:t>
      </w:r>
      <w:r w:rsidR="00247AB8">
        <w:rPr>
          <w:rFonts w:ascii="TH SarabunPSK" w:hAnsi="TH SarabunPSK" w:cs="TH SarabunPSK" w:hint="cs"/>
          <w:cs/>
        </w:rPr>
        <w:t xml:space="preserve"> </w:t>
      </w:r>
      <w:r w:rsidR="009177D4" w:rsidRPr="00855FAC">
        <w:rPr>
          <w:rFonts w:ascii="TH SarabunPSK" w:hAnsi="TH SarabunPSK" w:cs="TH SarabunPSK"/>
        </w:rPr>
        <w:t>One group Pre-Posttest design</w:t>
      </w:r>
      <w:r w:rsidR="009177D4" w:rsidRPr="00855FAC">
        <w:rPr>
          <w:rFonts w:ascii="TH SarabunPSK" w:hAnsi="TH SarabunPSK" w:cs="TH SarabunPSK"/>
          <w:cs/>
        </w:rPr>
        <w:t xml:space="preserve"> คัดเลือกอาสาสมัครโดยการสุ่มแบบบังเอิญ (</w:t>
      </w:r>
      <w:r w:rsidR="009177D4" w:rsidRPr="00855FAC">
        <w:rPr>
          <w:rFonts w:ascii="TH SarabunPSK" w:hAnsi="TH SarabunPSK" w:cs="TH SarabunPSK"/>
        </w:rPr>
        <w:t>Accidental Sampling</w:t>
      </w:r>
      <w:r w:rsidR="009177D4" w:rsidRPr="00855FAC">
        <w:rPr>
          <w:rFonts w:ascii="TH SarabunPSK" w:hAnsi="TH SarabunPSK" w:cs="TH SarabunPSK"/>
          <w:cs/>
        </w:rPr>
        <w:t>) คัดเลือกอาสาสมัครจากผู้มารับบริการที่ได้รับการวินิจฉัยจากแพทย์</w:t>
      </w:r>
      <w:r w:rsidR="00284D9F">
        <w:rPr>
          <w:rFonts w:ascii="TH SarabunPSK" w:hAnsi="TH SarabunPSK" w:cs="TH SarabunPSK"/>
          <w:cs/>
        </w:rPr>
        <w:t>แผนปัจจุบันว่าเป็นโรคเข่าเสื่อม</w:t>
      </w:r>
      <w:r w:rsidR="00284D9F">
        <w:rPr>
          <w:rFonts w:ascii="TH SarabunPSK" w:hAnsi="TH SarabunPSK" w:cs="TH SarabunPSK" w:hint="cs"/>
          <w:cs/>
        </w:rPr>
        <w:t xml:space="preserve"> </w:t>
      </w:r>
      <w:r w:rsidR="009177D4" w:rsidRPr="00855FAC">
        <w:rPr>
          <w:rFonts w:ascii="TH SarabunPSK" w:hAnsi="TH SarabunPSK" w:cs="TH SarabunPSK"/>
          <w:cs/>
        </w:rPr>
        <w:t>จำนวน 30 ราย ที่มีระดับอาการปวด 5 คะแนนขึ้นไป โดยประเมินจาก</w:t>
      </w:r>
      <w:r w:rsidR="009177D4" w:rsidRPr="00855FAC">
        <w:rPr>
          <w:rFonts w:ascii="TH SarabunPSK" w:hAnsi="TH SarabunPSK" w:cs="TH SarabunPSK"/>
        </w:rPr>
        <w:t xml:space="preserve"> Visual analogue scale</w:t>
      </w:r>
      <w:r w:rsidR="00425EB4">
        <w:rPr>
          <w:rFonts w:ascii="TH SarabunPSK" w:hAnsi="TH SarabunPSK" w:cs="TH SarabunPSK" w:hint="cs"/>
          <w:cs/>
        </w:rPr>
        <w:t xml:space="preserve"> </w:t>
      </w:r>
      <w:r w:rsidR="009177D4" w:rsidRPr="00855FAC">
        <w:rPr>
          <w:rFonts w:ascii="TH SarabunPSK" w:hAnsi="TH SarabunPSK" w:cs="TH SarabunPSK"/>
          <w:cs/>
        </w:rPr>
        <w:t xml:space="preserve">เพื่อรับการรักษาด้วยการใช้ “ตำรับยาทาพระเส้น” โดยทาบริเวณเข่าวันละ </w:t>
      </w:r>
      <w:r w:rsidR="009177D4" w:rsidRPr="00855FAC">
        <w:rPr>
          <w:rFonts w:ascii="TH SarabunPSK" w:hAnsi="TH SarabunPSK" w:cs="TH SarabunPSK"/>
        </w:rPr>
        <w:t xml:space="preserve">3 </w:t>
      </w:r>
      <w:r w:rsidR="009177D4" w:rsidRPr="00855FAC">
        <w:rPr>
          <w:rFonts w:ascii="TH SarabunPSK" w:hAnsi="TH SarabunPSK" w:cs="TH SarabunPSK"/>
          <w:cs/>
        </w:rPr>
        <w:t xml:space="preserve">ครั้ง เช้า กลางวัน และเย็น จำนวน </w:t>
      </w:r>
      <w:r w:rsidR="009177D4" w:rsidRPr="00855FAC">
        <w:rPr>
          <w:rFonts w:ascii="TH SarabunPSK" w:hAnsi="TH SarabunPSK" w:cs="TH SarabunPSK"/>
        </w:rPr>
        <w:t xml:space="preserve">7 </w:t>
      </w:r>
      <w:r w:rsidR="009177D4" w:rsidRPr="00855FAC">
        <w:rPr>
          <w:rFonts w:ascii="TH SarabunPSK" w:hAnsi="TH SarabunPSK" w:cs="TH SarabunPSK"/>
          <w:cs/>
        </w:rPr>
        <w:t>วันติดต่อกัน ในขณะที่ใช้ตำรับยาทาพระเส้น จะต้องไม่รับประทานยาแก้ปวด หรือรับการรักษาด้วยวิ</w:t>
      </w:r>
      <w:r w:rsidR="00425EB4">
        <w:rPr>
          <w:rFonts w:ascii="TH SarabunPSK" w:hAnsi="TH SarabunPSK" w:cs="TH SarabunPSK"/>
          <w:cs/>
        </w:rPr>
        <w:t xml:space="preserve">ธีอื่น และยินดีเข้าร่วมโครงการ </w:t>
      </w:r>
      <w:r w:rsidR="009177D4" w:rsidRPr="00F27D31">
        <w:rPr>
          <w:rFonts w:ascii="TH SarabunPSK" w:hAnsi="TH SarabunPSK" w:cs="TH SarabunPSK"/>
          <w:cs/>
        </w:rPr>
        <w:t>ประเมินผลด้วยแบบวัดระดับความปวด (</w:t>
      </w:r>
      <w:r w:rsidR="009177D4" w:rsidRPr="00F27D31">
        <w:rPr>
          <w:rFonts w:ascii="TH SarabunPSK" w:hAnsi="TH SarabunPSK" w:cs="TH SarabunPSK"/>
        </w:rPr>
        <w:t xml:space="preserve">VAS) </w:t>
      </w:r>
      <w:r w:rsidR="009177D4" w:rsidRPr="00F27D31">
        <w:rPr>
          <w:rFonts w:ascii="TH SarabunPSK" w:hAnsi="TH SarabunPSK" w:cs="TH SarabunPSK"/>
          <w:cs/>
        </w:rPr>
        <w:t xml:space="preserve">และแบบประเมิน </w:t>
      </w:r>
      <w:r w:rsidR="009177D4" w:rsidRPr="00F27D31">
        <w:rPr>
          <w:rFonts w:ascii="TH SarabunPSK" w:hAnsi="TH SarabunPSK" w:cs="TH SarabunPSK"/>
        </w:rPr>
        <w:t xml:space="preserve">WOMAC </w:t>
      </w:r>
      <w:r w:rsidR="009177D4" w:rsidRPr="00F27D31">
        <w:rPr>
          <w:rFonts w:ascii="TH SarabunPSK" w:hAnsi="TH SarabunPSK" w:cs="TH SarabunPSK"/>
          <w:cs/>
        </w:rPr>
        <w:t>รวมถึงแบบสอบถามความพึงพอใจ</w:t>
      </w:r>
      <w:r w:rsidR="00247AB8">
        <w:rPr>
          <w:rFonts w:ascii="TH SarabunPSK" w:hAnsi="TH SarabunPSK" w:cs="TH SarabunPSK" w:hint="cs"/>
          <w:cs/>
        </w:rPr>
        <w:t xml:space="preserve">  </w:t>
      </w:r>
      <w:r w:rsidR="00F27D31" w:rsidRPr="00F36C82">
        <w:rPr>
          <w:rFonts w:ascii="TH SarabunPSK" w:hAnsi="TH SarabunPSK" w:cs="TH SarabunPSK"/>
          <w:b/>
          <w:bCs/>
          <w:cs/>
        </w:rPr>
        <w:t>ผลการศึกษา</w:t>
      </w:r>
      <w:r w:rsidR="00F36C82" w:rsidRPr="00F36C82">
        <w:rPr>
          <w:rFonts w:ascii="TH SarabunPSK" w:hAnsi="TH SarabunPSK" w:cs="TH SarabunPSK"/>
        </w:rPr>
        <w:t xml:space="preserve">: </w:t>
      </w:r>
      <w:r w:rsidR="00425EB4">
        <w:rPr>
          <w:rFonts w:ascii="TH SarabunPSK" w:hAnsi="TH SarabunPSK" w:cs="TH SarabunPSK"/>
          <w:cs/>
        </w:rPr>
        <w:t>จากการศึกษา</w:t>
      </w:r>
      <w:r w:rsidR="00F36C82" w:rsidRPr="009A466E">
        <w:rPr>
          <w:rFonts w:ascii="TH SarabunPSK" w:hAnsi="TH SarabunPSK" w:cs="TH SarabunPSK"/>
          <w:cs/>
        </w:rPr>
        <w:t>พบว่า</w:t>
      </w:r>
      <w:r w:rsidR="009A466E" w:rsidRPr="009A466E">
        <w:rPr>
          <w:rFonts w:ascii="TH SarabunPSK" w:hAnsi="TH SarabunPSK" w:cs="TH SarabunPSK"/>
          <w:cs/>
        </w:rPr>
        <w:t>หลังการใช้ตำรับยาทาพระเส้นไม่พบอาการไม่พึงประสงค์ใน</w:t>
      </w:r>
      <w:r w:rsidR="00B50112">
        <w:rPr>
          <w:rFonts w:ascii="TH SarabunPSK" w:hAnsi="TH SarabunPSK" w:cs="TH SarabunPSK"/>
          <w:cs/>
        </w:rPr>
        <w:t xml:space="preserve">อาสาสมัครทุกราย </w:t>
      </w:r>
      <w:r w:rsidR="00F45A02">
        <w:rPr>
          <w:rFonts w:ascii="TH SarabunPSK" w:hAnsi="TH SarabunPSK" w:cs="TH SarabunPSK" w:hint="cs"/>
          <w:cs/>
        </w:rPr>
        <w:t>ระดับ</w:t>
      </w:r>
      <w:r w:rsidR="00B50112">
        <w:rPr>
          <w:rFonts w:ascii="TH SarabunPSK" w:hAnsi="TH SarabunPSK" w:cs="TH SarabunPSK"/>
          <w:cs/>
        </w:rPr>
        <w:t>ความปวด</w:t>
      </w:r>
      <w:r w:rsidR="00B50112">
        <w:rPr>
          <w:rFonts w:ascii="TH SarabunPSK" w:hAnsi="TH SarabunPSK" w:cs="TH SarabunPSK" w:hint="cs"/>
          <w:cs/>
        </w:rPr>
        <w:t xml:space="preserve"> </w:t>
      </w:r>
      <w:r w:rsidR="009A466E" w:rsidRPr="009A466E">
        <w:rPr>
          <w:rFonts w:ascii="TH SarabunPSK" w:hAnsi="TH SarabunPSK" w:cs="TH SarabunPSK"/>
          <w:cs/>
        </w:rPr>
        <w:t>อาการข้อฝืด และความสามารถในการใช้งานข้อดีขึ้นอย่างมีนัยสำคัญทางสถิติ (</w:t>
      </w:r>
      <w:r w:rsidR="009A466E" w:rsidRPr="009A466E">
        <w:rPr>
          <w:rFonts w:ascii="TH SarabunPSK" w:hAnsi="TH SarabunPSK" w:cs="TH SarabunPSK"/>
        </w:rPr>
        <w:t xml:space="preserve">p &lt; 0.05) </w:t>
      </w:r>
      <w:r w:rsidR="009A466E" w:rsidRPr="009A466E">
        <w:rPr>
          <w:rFonts w:ascii="TH SarabunPSK" w:hAnsi="TH SarabunPSK" w:cs="TH SarabunPSK"/>
          <w:cs/>
        </w:rPr>
        <w:t xml:space="preserve">โดยค่าเฉลี่ยความปวดลดลงจาก </w:t>
      </w:r>
      <w:r w:rsidR="009A466E" w:rsidRPr="009A466E">
        <w:rPr>
          <w:rFonts w:ascii="TH SarabunPSK" w:hAnsi="TH SarabunPSK" w:cs="TH SarabunPSK"/>
        </w:rPr>
        <w:t xml:space="preserve">7.90 </w:t>
      </w:r>
      <w:r w:rsidR="009A466E" w:rsidRPr="009A466E">
        <w:rPr>
          <w:rFonts w:ascii="TH SarabunPSK" w:hAnsi="TH SarabunPSK" w:cs="TH SarabunPSK"/>
          <w:cs/>
        </w:rPr>
        <w:t xml:space="preserve">เป็น </w:t>
      </w:r>
      <w:r w:rsidR="009A466E" w:rsidRPr="009A466E">
        <w:rPr>
          <w:rFonts w:ascii="TH SarabunPSK" w:hAnsi="TH SarabunPSK" w:cs="TH SarabunPSK"/>
        </w:rPr>
        <w:t xml:space="preserve">1.77 </w:t>
      </w:r>
      <w:r w:rsidR="009A466E" w:rsidRPr="009A466E">
        <w:rPr>
          <w:rFonts w:ascii="TH SarabunPSK" w:hAnsi="TH SarabunPSK" w:cs="TH SarabunPSK"/>
          <w:cs/>
        </w:rPr>
        <w:t xml:space="preserve">และมีความพึงพอใจต่อการรักษาในระดับมากที่สุด (ร้อยละ </w:t>
      </w:r>
      <w:r w:rsidR="009A466E" w:rsidRPr="009A466E">
        <w:rPr>
          <w:rFonts w:ascii="TH SarabunPSK" w:hAnsi="TH SarabunPSK" w:cs="TH SarabunPSK"/>
        </w:rPr>
        <w:t>63.33)</w:t>
      </w:r>
      <w:r w:rsidR="00247AB8">
        <w:rPr>
          <w:rFonts w:ascii="TH SarabunPSK" w:hAnsi="TH SarabunPSK" w:cs="TH SarabunPSK" w:hint="cs"/>
          <w:cs/>
        </w:rPr>
        <w:t xml:space="preserve">  </w:t>
      </w:r>
      <w:r w:rsidR="00F45A02">
        <w:rPr>
          <w:rFonts w:ascii="TH SarabunPSK" w:hAnsi="TH SarabunPSK" w:cs="TH SarabunPSK"/>
          <w:b/>
          <w:bCs/>
          <w:cs/>
        </w:rPr>
        <w:t>อภิปราย</w:t>
      </w:r>
      <w:r w:rsidR="00F45A02">
        <w:rPr>
          <w:rFonts w:ascii="TH SarabunPSK" w:hAnsi="TH SarabunPSK" w:cs="TH SarabunPSK" w:hint="cs"/>
          <w:b/>
          <w:bCs/>
          <w:cs/>
        </w:rPr>
        <w:t>ผล</w:t>
      </w:r>
      <w:r w:rsidR="00F36C82" w:rsidRPr="00DA1EBA">
        <w:rPr>
          <w:rFonts w:ascii="TH SarabunPSK" w:hAnsi="TH SarabunPSK" w:cs="TH SarabunPSK"/>
          <w:b/>
          <w:bCs/>
          <w:cs/>
        </w:rPr>
        <w:t>และข้อเสนอแนะ</w:t>
      </w:r>
      <w:r w:rsidR="00F36C82" w:rsidRPr="00DA1EBA">
        <w:rPr>
          <w:rFonts w:ascii="TH SarabunPSK" w:hAnsi="TH SarabunPSK" w:cs="TH SarabunPSK"/>
        </w:rPr>
        <w:t xml:space="preserve">: </w:t>
      </w:r>
      <w:r w:rsidR="00F36C82" w:rsidRPr="00435F83">
        <w:rPr>
          <w:rFonts w:ascii="TH SarabunPSK" w:hAnsi="TH SarabunPSK" w:cs="TH SarabunPSK"/>
          <w:cs/>
        </w:rPr>
        <w:t>การใช้ตำรับยาทาพระเส้นสามารถลดอาการปวดเข่าในผู้ป่วยข้อเข่าเสื่อมได้อย่างมีประสิทธิผล ไม่พบอาการแพ้หรือการระคายเคืองหลังการใช้ตำรับยา ค่าเฉลี่ยระดับอาการปวดเข่าหลังการรักษาลดลงอย่างชัดเจน(</w:t>
      </w:r>
      <w:r w:rsidR="00F36C82" w:rsidRPr="00435F83">
        <w:rPr>
          <w:rFonts w:ascii="TH SarabunPSK" w:hAnsi="TH SarabunPSK" w:cs="TH SarabunPSK"/>
        </w:rPr>
        <w:t>x</w:t>
      </w:r>
      <w:r w:rsidR="00F36C82" w:rsidRPr="00435F83">
        <w:rPr>
          <w:rFonts w:ascii="Times New Roman" w:hAnsi="Times New Roman" w:cs="TH SarabunPSK"/>
        </w:rPr>
        <w:t>̄</w:t>
      </w:r>
      <w:r w:rsidR="00830A79">
        <w:rPr>
          <w:rFonts w:ascii="TH SarabunPSK" w:hAnsi="TH SarabunPSK" w:cs="TH SarabunPSK"/>
        </w:rPr>
        <w:t>=</w:t>
      </w:r>
      <w:r w:rsidR="00F36C82" w:rsidRPr="00435F83">
        <w:rPr>
          <w:rFonts w:ascii="TH SarabunPSK" w:hAnsi="TH SarabunPSK" w:cs="TH SarabunPSK"/>
        </w:rPr>
        <w:t xml:space="preserve">1.77) </w:t>
      </w:r>
      <w:r w:rsidR="00830A79">
        <w:rPr>
          <w:rFonts w:ascii="TH SarabunPSK" w:hAnsi="TH SarabunPSK" w:cs="TH SarabunPSK"/>
          <w:cs/>
        </w:rPr>
        <w:t>เมื่อเทียบกับก่อนการรักษา</w:t>
      </w:r>
      <w:r w:rsidR="00F36C82" w:rsidRPr="00435F83">
        <w:rPr>
          <w:rFonts w:ascii="TH SarabunPSK" w:hAnsi="TH SarabunPSK" w:cs="TH SarabunPSK"/>
          <w:cs/>
        </w:rPr>
        <w:t>(</w:t>
      </w:r>
      <w:r w:rsidR="00F36C82" w:rsidRPr="00435F83">
        <w:rPr>
          <w:rFonts w:ascii="TH SarabunPSK" w:hAnsi="TH SarabunPSK" w:cs="TH SarabunPSK"/>
        </w:rPr>
        <w:t>x</w:t>
      </w:r>
      <w:r w:rsidR="00F36C82" w:rsidRPr="00435F83">
        <w:rPr>
          <w:rFonts w:ascii="Times New Roman" w:hAnsi="Times New Roman" w:cs="TH SarabunPSK"/>
        </w:rPr>
        <w:t>̄</w:t>
      </w:r>
      <w:r w:rsidR="00830A79">
        <w:rPr>
          <w:rFonts w:ascii="TH SarabunPSK" w:hAnsi="TH SarabunPSK" w:cs="TH SarabunPSK"/>
        </w:rPr>
        <w:t>=</w:t>
      </w:r>
      <w:r w:rsidR="00F36C82" w:rsidRPr="00435F83">
        <w:rPr>
          <w:rFonts w:ascii="TH SarabunPSK" w:hAnsi="TH SarabunPSK" w:cs="TH SarabunPSK"/>
        </w:rPr>
        <w:t xml:space="preserve">7.90) </w:t>
      </w:r>
      <w:r w:rsidR="00F36C82" w:rsidRPr="00435F83">
        <w:rPr>
          <w:rFonts w:ascii="TH SarabunPSK" w:hAnsi="TH SarabunPSK" w:cs="TH SarabunPSK"/>
          <w:cs/>
        </w:rPr>
        <w:t>และเมื่อเปรียบเทียบก่อนและหลังการรักษา</w:t>
      </w:r>
      <w:r w:rsidR="008E5469">
        <w:rPr>
          <w:rFonts w:ascii="TH SarabunPSK" w:hAnsi="TH SarabunPSK" w:cs="TH SarabunPSK"/>
          <w:cs/>
        </w:rPr>
        <w:t>พบว่า</w:t>
      </w:r>
      <w:r w:rsidR="00F36C82" w:rsidRPr="00435F83">
        <w:rPr>
          <w:rFonts w:ascii="TH SarabunPSK" w:hAnsi="TH SarabunPSK" w:cs="TH SarabunPSK"/>
          <w:cs/>
        </w:rPr>
        <w:t>การใช้ตำรับยาทาพระเส้นมีผลต่อการลดอาการปวด ลดความฝืดของข้อ และเพิ่มความสามารถในการเคลื่อนไหวของข้ออย่างมีนัยสำคัญทางสถิติ (</w:t>
      </w:r>
      <w:r w:rsidR="00F36C82" w:rsidRPr="00435F83">
        <w:rPr>
          <w:rFonts w:ascii="TH SarabunPSK" w:hAnsi="TH SarabunPSK" w:cs="TH SarabunPSK"/>
        </w:rPr>
        <w:t>p &lt; 0.05</w:t>
      </w:r>
      <w:r w:rsidR="00F45A02">
        <w:rPr>
          <w:rFonts w:ascii="TH SarabunPSK" w:hAnsi="TH SarabunPSK" w:cs="TH SarabunPSK" w:hint="cs"/>
          <w:cs/>
        </w:rPr>
        <w:t>)</w:t>
      </w:r>
      <w:r w:rsidR="008E5469">
        <w:rPr>
          <w:rFonts w:ascii="TH SarabunPSK" w:hAnsi="TH SarabunPSK" w:cs="TH SarabunPSK" w:hint="cs"/>
          <w:cs/>
        </w:rPr>
        <w:t xml:space="preserve"> </w:t>
      </w:r>
      <w:r w:rsidR="00F36C82" w:rsidRPr="00435F83">
        <w:rPr>
          <w:rFonts w:ascii="TH SarabunPSK" w:hAnsi="TH SarabunPSK" w:cs="TH SarabunPSK"/>
          <w:cs/>
        </w:rPr>
        <w:t>ผลการศึกษานี้สอดคล้องกับงานวิจัยที่เกี่ยวข้องกับฤทธิ์ของสมุนไพรที่เป็นส</w:t>
      </w:r>
      <w:r w:rsidR="00F45A02">
        <w:rPr>
          <w:rFonts w:ascii="TH SarabunPSK" w:hAnsi="TH SarabunPSK" w:cs="TH SarabunPSK"/>
          <w:cs/>
        </w:rPr>
        <w:t xml:space="preserve">่วนประกอบในตำรับยาทาพระเส้น </w:t>
      </w:r>
      <w:r w:rsidR="00F36C82" w:rsidRPr="00435F83">
        <w:rPr>
          <w:rFonts w:ascii="TH SarabunPSK" w:hAnsi="TH SarabunPSK" w:cs="TH SarabunPSK"/>
          <w:cs/>
        </w:rPr>
        <w:t>พบว่าหลายชนิดมีฤทธิ</w:t>
      </w:r>
      <w:r w:rsidR="00F45A02">
        <w:rPr>
          <w:rFonts w:ascii="TH SarabunPSK" w:hAnsi="TH SarabunPSK" w:cs="TH SarabunPSK"/>
          <w:cs/>
        </w:rPr>
        <w:t>์ต้านการอักเสบและบรรเทาอาการปวด</w:t>
      </w:r>
      <w:r w:rsidR="00F45A02">
        <w:rPr>
          <w:rFonts w:ascii="TH SarabunPSK" w:hAnsi="TH SarabunPSK" w:cs="TH SarabunPSK" w:hint="cs"/>
          <w:cs/>
        </w:rPr>
        <w:t xml:space="preserve"> </w:t>
      </w:r>
      <w:r w:rsidR="00F45A02">
        <w:rPr>
          <w:rFonts w:ascii="TH SarabunPSK" w:hAnsi="TH SarabunPSK" w:cs="TH SarabunPSK"/>
          <w:cs/>
        </w:rPr>
        <w:t>ใน</w:t>
      </w:r>
      <w:r w:rsidR="00F36C82" w:rsidRPr="00435F83">
        <w:rPr>
          <w:rFonts w:ascii="TH SarabunPSK" w:hAnsi="TH SarabunPSK" w:cs="TH SarabunPSK"/>
          <w:cs/>
        </w:rPr>
        <w:t>มุมมองทางการแพทย์แผนไทย ตำรับยาทาพระเส้นประกอบด้วยสมุนไพรที่มีรสร้อน</w:t>
      </w:r>
      <w:r w:rsidR="004C72C1">
        <w:rPr>
          <w:rFonts w:cs="Arial Unicode MS" w:hint="cs"/>
          <w:cs/>
        </w:rPr>
        <w:t xml:space="preserve"> </w:t>
      </w:r>
      <w:r w:rsidR="00F36C82" w:rsidRPr="00435F83">
        <w:rPr>
          <w:rFonts w:ascii="TH SarabunPSK" w:hAnsi="TH SarabunPSK" w:cs="TH SarabunPSK"/>
          <w:cs/>
        </w:rPr>
        <w:t>มีสรรพคุณในการ</w:t>
      </w:r>
      <w:r w:rsidR="00B50112">
        <w:rPr>
          <w:rFonts w:ascii="TH SarabunPSK" w:hAnsi="TH SarabunPSK" w:cs="TH SarabunPSK" w:hint="cs"/>
          <w:cs/>
        </w:rPr>
        <w:t>กระจาย</w:t>
      </w:r>
      <w:r w:rsidR="00F36C82" w:rsidRPr="00435F83">
        <w:rPr>
          <w:rFonts w:ascii="TH SarabunPSK" w:hAnsi="TH SarabunPSK" w:cs="TH SarabunPSK"/>
          <w:cs/>
        </w:rPr>
        <w:t xml:space="preserve">ลมและบรรเทาอาการปวดกล้ามเนื้อและข้อ </w:t>
      </w:r>
      <w:r w:rsidR="004C72C1" w:rsidRPr="004C72C1">
        <w:rPr>
          <w:rFonts w:ascii="TH SarabunPSK" w:hAnsi="TH SarabunPSK" w:cs="TH SarabunPSK"/>
          <w:cs/>
        </w:rPr>
        <w:t>จึงช่วยลดอาการปวดและข้อฝืดในผู้ป่วยข้อเข่าเสื่อมได้</w:t>
      </w:r>
      <w:r w:rsidR="004C72C1" w:rsidRPr="004C72C1">
        <w:rPr>
          <w:rFonts w:ascii="TH SarabunPSK" w:hAnsi="TH SarabunPSK" w:cs="TH SarabunPSK"/>
        </w:rPr>
        <w:t xml:space="preserve"> </w:t>
      </w:r>
      <w:r w:rsidR="004C72C1" w:rsidRPr="004C72C1">
        <w:rPr>
          <w:rFonts w:ascii="TH SarabunPSK" w:hAnsi="TH SarabunPSK" w:cs="TH SarabunPSK"/>
          <w:cs/>
        </w:rPr>
        <w:t xml:space="preserve"> </w:t>
      </w:r>
      <w:r w:rsidR="00284D9F" w:rsidRPr="004C72C1">
        <w:rPr>
          <w:rFonts w:ascii="TH SarabunPSK" w:hAnsi="TH SarabunPSK" w:cs="TH SarabunPSK"/>
          <w:cs/>
        </w:rPr>
        <w:t xml:space="preserve">นอกจากนี้ </w:t>
      </w:r>
      <w:r w:rsidR="00F36C82" w:rsidRPr="004C72C1">
        <w:rPr>
          <w:rFonts w:ascii="TH SarabunPSK" w:hAnsi="TH SarabunPSK" w:cs="TH SarabunPSK"/>
          <w:cs/>
        </w:rPr>
        <w:t xml:space="preserve">ด้านความพึงพอใจ พบว่าอาสาสมัครมีความพึงพอใจต่อการใช้ตำรับยาทาพระเส้นในระดับมากที่สุด คิดเป็นร้อยละ </w:t>
      </w:r>
      <w:r w:rsidR="00F36C82" w:rsidRPr="004C72C1">
        <w:rPr>
          <w:rFonts w:ascii="TH SarabunPSK" w:hAnsi="TH SarabunPSK" w:cs="TH SarabunPSK"/>
        </w:rPr>
        <w:t xml:space="preserve">63.33 </w:t>
      </w:r>
      <w:r w:rsidR="00F36C82" w:rsidRPr="004C72C1">
        <w:rPr>
          <w:rFonts w:ascii="TH SarabunPSK" w:hAnsi="TH SarabunPSK" w:cs="TH SarabunPSK"/>
          <w:cs/>
        </w:rPr>
        <w:t>สะท้อนถึงการยอมรับและความเป็นไปได้ในการนำไปใช้ในทางคลินิก</w:t>
      </w:r>
      <w:r w:rsidR="00B50112" w:rsidRPr="004C72C1">
        <w:rPr>
          <w:rFonts w:ascii="TH SarabunPSK" w:hAnsi="TH SarabunPSK" w:cs="TH SarabunPSK"/>
          <w:cs/>
        </w:rPr>
        <w:t xml:space="preserve"> </w:t>
      </w:r>
      <w:r w:rsidR="00F36C82" w:rsidRPr="004C72C1">
        <w:rPr>
          <w:rFonts w:ascii="TH SarabunPSK" w:hAnsi="TH SarabunPSK" w:cs="TH SarabunPSK"/>
          <w:cs/>
        </w:rPr>
        <w:t>อย่</w:t>
      </w:r>
      <w:r w:rsidR="00B50112" w:rsidRPr="004C72C1">
        <w:rPr>
          <w:rFonts w:ascii="TH SarabunPSK" w:hAnsi="TH SarabunPSK" w:cs="TH SarabunPSK"/>
          <w:cs/>
        </w:rPr>
        <w:t>างไรก็ตาม</w:t>
      </w:r>
      <w:r w:rsidR="00F36C82" w:rsidRPr="004C72C1">
        <w:rPr>
          <w:rFonts w:ascii="TH SarabunPSK" w:hAnsi="TH SarabunPSK" w:cs="TH SarabunPSK"/>
          <w:cs/>
        </w:rPr>
        <w:t>การศึกษาครั้งนี้ ขนาดกลุ่มตัวอย่างค่อนข้างน้อย และระยะเวลาการติดตามผลที่สั้น ดังนั้น ควรมีการศึกษาวิจัยเพิ่มเติมในระยะยาว โดยเพิ่มจำนวนตัวอย่าง และศึกษากลไกทางเภสัชวิทยา รวมถึงประเมินความปลอดภัยอย่างละเอียด เพื่อยืนยันประสิทธิผลของตำรับยาทาพระเส้นในวงกว้างต่อไป</w:t>
      </w:r>
    </w:p>
    <w:p w:rsidR="00F36C82" w:rsidRPr="004C72C1" w:rsidRDefault="00247AB8" w:rsidP="006A2EBD">
      <w:pPr>
        <w:jc w:val="thaiDistribute"/>
        <w:rPr>
          <w:rFonts w:ascii="TH SarabunPSK" w:hAnsi="TH SarabunPSK" w:cs="TH SarabunPSK" w:hint="cs"/>
          <w:cs/>
        </w:rPr>
      </w:pPr>
      <w:r w:rsidRPr="00247AB8">
        <w:rPr>
          <w:rFonts w:ascii="TH SarabunPSK" w:hAnsi="TH SarabunPSK" w:cs="TH SarabunPSK" w:hint="cs"/>
          <w:b/>
          <w:bCs/>
          <w:cs/>
        </w:rPr>
        <w:t>คำสำคัญ</w:t>
      </w:r>
      <w:r>
        <w:rPr>
          <w:rFonts w:ascii="TH SarabunPSK" w:hAnsi="TH SarabunPSK" w:cs="TH SarabunPSK"/>
          <w:b/>
          <w:bCs/>
        </w:rPr>
        <w:t xml:space="preserve"> </w:t>
      </w:r>
      <w:r w:rsidR="004C72C1">
        <w:rPr>
          <w:rFonts w:ascii="TH SarabunPSK" w:hAnsi="TH SarabunPSK" w:cs="TH SarabunPSK" w:hint="cs"/>
          <w:cs/>
        </w:rPr>
        <w:t xml:space="preserve"> ตำรับยาทาพระเส้น </w:t>
      </w:r>
      <w:r w:rsidR="008E5469" w:rsidRPr="004C72C1">
        <w:rPr>
          <w:rFonts w:ascii="TH SarabunPSK" w:hAnsi="TH SarabunPSK" w:cs="TH SarabunPSK" w:hint="cs"/>
          <w:cs/>
        </w:rPr>
        <w:t>เข่าเสื่อม ปวดเข่า</w:t>
      </w:r>
      <w:r w:rsidR="004C72C1">
        <w:rPr>
          <w:rFonts w:ascii="TH SarabunPSK" w:hAnsi="TH SarabunPSK" w:cs="TH SarabunPSK" w:hint="cs"/>
          <w:cs/>
        </w:rPr>
        <w:t xml:space="preserve"> </w:t>
      </w:r>
    </w:p>
    <w:p w:rsidR="004C72C1" w:rsidRDefault="00F266B6" w:rsidP="004C72C1">
      <w:pPr>
        <w:jc w:val="thaiDistribute"/>
        <w:rPr>
          <w:rFonts w:ascii="TH SarabunPSK" w:hAnsi="TH SarabunPSK" w:cs="TH SarabunPSK"/>
          <w:b/>
          <w:bCs/>
        </w:rPr>
      </w:pPr>
      <w:r w:rsidRPr="00DA1EBA">
        <w:rPr>
          <w:rFonts w:ascii="TH SarabunPSK" w:hAnsi="TH SarabunPSK" w:cs="TH SarabunPSK"/>
          <w:b/>
          <w:bCs/>
          <w:cs/>
        </w:rPr>
        <w:lastRenderedPageBreak/>
        <w:t>เอกสารอ้างอิง</w:t>
      </w:r>
    </w:p>
    <w:p w:rsidR="004C72C1" w:rsidRPr="004C72C1" w:rsidRDefault="004C72C1" w:rsidP="004C72C1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</w:t>
      </w:r>
      <w:r w:rsidRPr="004C72C1">
        <w:rPr>
          <w:rFonts w:ascii="TH SarabunPSK" w:hAnsi="TH SarabunPSK" w:cs="TH SarabunPSK"/>
          <w:sz w:val="28"/>
          <w:szCs w:val="28"/>
        </w:rPr>
        <w:t xml:space="preserve">Department of Medical Services.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Clinical practice guidelines for the management of knee osteoarthritis</w:t>
      </w:r>
      <w:r w:rsidRPr="004C72C1">
        <w:rPr>
          <w:rFonts w:ascii="TH SarabunPSK" w:hAnsi="TH SarabunPSK" w:cs="TH SarabunPSK"/>
          <w:sz w:val="28"/>
          <w:szCs w:val="28"/>
        </w:rPr>
        <w:t xml:space="preserve">. Bangkok: Ministry of Public Health; 2019. </w:t>
      </w:r>
    </w:p>
    <w:p w:rsidR="004C72C1" w:rsidRPr="004C72C1" w:rsidRDefault="004C72C1" w:rsidP="004C72C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</w:t>
      </w:r>
      <w:r w:rsidRPr="004C72C1">
        <w:rPr>
          <w:rFonts w:ascii="TH SarabunPSK" w:hAnsi="TH SarabunPSK" w:cs="TH SarabunPSK"/>
          <w:sz w:val="28"/>
          <w:szCs w:val="28"/>
        </w:rPr>
        <w:t xml:space="preserve">David T. Felson. Clinical practice. Osteoarthritis of the knee.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N Engl J Med</w:t>
      </w:r>
      <w:r w:rsidRPr="004C72C1">
        <w:rPr>
          <w:rFonts w:ascii="TH SarabunPSK" w:hAnsi="TH SarabunPSK" w:cs="TH SarabunPSK"/>
          <w:sz w:val="28"/>
          <w:szCs w:val="28"/>
        </w:rPr>
        <w:t xml:space="preserve">. 2006;354(8):841–8. </w:t>
      </w:r>
    </w:p>
    <w:p w:rsidR="004C72C1" w:rsidRPr="004C72C1" w:rsidRDefault="004C72C1" w:rsidP="004C72C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</w:t>
      </w:r>
      <w:r w:rsidRPr="004C72C1">
        <w:rPr>
          <w:rFonts w:ascii="TH SarabunPSK" w:hAnsi="TH SarabunPSK" w:cs="TH SarabunPSK"/>
          <w:sz w:val="28"/>
          <w:szCs w:val="28"/>
        </w:rPr>
        <w:t xml:space="preserve">Chao Zeng, Wei J, Persson MSM, Sarmanova A, Doherty M, Xie D, et al. Relative efficacy and safety of topical non-steroidal anti-inflammatory drugs for osteoarthritis: a systematic review and network meta-analysis.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Osteoarthritis Cartilage</w:t>
      </w:r>
      <w:r w:rsidRPr="004C72C1">
        <w:rPr>
          <w:rFonts w:ascii="TH SarabunPSK" w:hAnsi="TH SarabunPSK" w:cs="TH SarabunPSK"/>
          <w:sz w:val="28"/>
          <w:szCs w:val="28"/>
        </w:rPr>
        <w:t xml:space="preserve">. 2018;26(12):1575–85. </w:t>
      </w:r>
    </w:p>
    <w:p w:rsidR="004C72C1" w:rsidRPr="004C72C1" w:rsidRDefault="004C72C1" w:rsidP="004C72C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</w:t>
      </w:r>
      <w:r w:rsidRPr="004C72C1">
        <w:rPr>
          <w:rFonts w:ascii="TH SarabunPSK" w:hAnsi="TH SarabunPSK" w:cs="TH SarabunPSK"/>
          <w:sz w:val="28"/>
          <w:szCs w:val="28"/>
        </w:rPr>
        <w:t xml:space="preserve">Department of Thai Traditional and Alternative Medicine.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Guidelines for providing Thai traditional and alternative medicine services in public health facilities</w:t>
      </w:r>
      <w:r w:rsidRPr="004C72C1">
        <w:rPr>
          <w:rFonts w:ascii="TH SarabunPSK" w:hAnsi="TH SarabunPSK" w:cs="TH SarabunPSK"/>
          <w:sz w:val="28"/>
          <w:szCs w:val="28"/>
        </w:rPr>
        <w:t xml:space="preserve">. Bangkok: Ministry of Public Health; 2017. </w:t>
      </w:r>
    </w:p>
    <w:p w:rsidR="004C72C1" w:rsidRPr="004C72C1" w:rsidRDefault="004C72C1" w:rsidP="004C72C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</w:t>
      </w:r>
      <w:r w:rsidRPr="004C72C1">
        <w:rPr>
          <w:rFonts w:ascii="TH SarabunPSK" w:hAnsi="TH SarabunPSK" w:cs="TH SarabunPSK"/>
          <w:sz w:val="28"/>
          <w:szCs w:val="28"/>
        </w:rPr>
        <w:t xml:space="preserve">Chawalit Pichiansuntorn, Chavalit M, Jerawong V.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Explanation of King Narai’s textbook of medicine (Tamra Phra Osoth Phra Narai)</w:t>
      </w:r>
      <w:r w:rsidRPr="004C72C1">
        <w:rPr>
          <w:rFonts w:ascii="TH SarabunPSK" w:hAnsi="TH SarabunPSK" w:cs="TH SarabunPSK"/>
          <w:sz w:val="28"/>
          <w:szCs w:val="28"/>
        </w:rPr>
        <w:t xml:space="preserve">. 3rd ed. Bangkok: Amarin Printing and Publishing; 2015. </w:t>
      </w:r>
    </w:p>
    <w:p w:rsidR="004C72C1" w:rsidRPr="004C72C1" w:rsidRDefault="004C72C1" w:rsidP="004C72C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</w:t>
      </w:r>
      <w:r w:rsidRPr="004C72C1">
        <w:rPr>
          <w:rFonts w:ascii="TH SarabunPSK" w:hAnsi="TH SarabunPSK" w:cs="TH SarabunPSK"/>
          <w:sz w:val="28"/>
          <w:szCs w:val="28"/>
        </w:rPr>
        <w:t xml:space="preserve">Sutham Winitchai, Vutdhiipapornkul P, Asukovit P. Anti-inflammatory, toxicity and antioxidant activity of herbal extracts of Tha Pra Sen Osoth Phra Narai and the development of herbal cream products.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J Thai Tradit Altern Med</w:t>
      </w:r>
      <w:r w:rsidRPr="004C72C1">
        <w:rPr>
          <w:rFonts w:ascii="TH SarabunPSK" w:hAnsi="TH SarabunPSK" w:cs="TH SarabunPSK"/>
          <w:sz w:val="28"/>
          <w:szCs w:val="28"/>
        </w:rPr>
        <w:t xml:space="preserve">. 2016;14(2):72–84. </w:t>
      </w:r>
    </w:p>
    <w:p w:rsidR="004C72C1" w:rsidRPr="004C72C1" w:rsidRDefault="004C72C1" w:rsidP="004C72C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</w:t>
      </w:r>
      <w:r w:rsidRPr="004C72C1">
        <w:rPr>
          <w:rFonts w:ascii="TH SarabunPSK" w:hAnsi="TH SarabunPSK" w:cs="TH SarabunPSK"/>
          <w:sz w:val="28"/>
          <w:szCs w:val="28"/>
        </w:rPr>
        <w:t xml:space="preserve">Aroon Anuthakoengkun, Itharat A. Inhibitory effect on nitric oxide production and free radical scavenging activity of Thai medicinal plants in osteoarthritic knee treatment.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J Med Assoc Thai</w:t>
      </w:r>
      <w:r w:rsidRPr="004C72C1">
        <w:rPr>
          <w:rFonts w:ascii="TH SarabunPSK" w:hAnsi="TH SarabunPSK" w:cs="TH SarabunPSK"/>
          <w:sz w:val="28"/>
          <w:szCs w:val="28"/>
        </w:rPr>
        <w:t xml:space="preserve">. 2014;97(Suppl 8):S116–24. </w:t>
      </w:r>
    </w:p>
    <w:p w:rsidR="004C72C1" w:rsidRPr="004C72C1" w:rsidRDefault="004C72C1" w:rsidP="004C72C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</w:t>
      </w:r>
      <w:r w:rsidRPr="004C72C1">
        <w:rPr>
          <w:rFonts w:ascii="TH SarabunPSK" w:hAnsi="TH SarabunPSK" w:cs="TH SarabunPSK"/>
          <w:sz w:val="28"/>
          <w:szCs w:val="28"/>
        </w:rPr>
        <w:t xml:space="preserve">Jean Didier Wansi, Wandji J, Sewald N, Nahar L, Martin C, Sarker SD. Phytochemistry and pharmacology of the genus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Drypetes</w:t>
      </w:r>
      <w:r w:rsidRPr="004C72C1">
        <w:rPr>
          <w:rFonts w:ascii="TH SarabunPSK" w:hAnsi="TH SarabunPSK" w:cs="TH SarabunPSK"/>
          <w:sz w:val="28"/>
          <w:szCs w:val="28"/>
        </w:rPr>
        <w:t xml:space="preserve">: a review.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J Ethnopharmacol</w:t>
      </w:r>
      <w:r w:rsidRPr="004C72C1">
        <w:rPr>
          <w:rFonts w:ascii="TH SarabunPSK" w:hAnsi="TH SarabunPSK" w:cs="TH SarabunPSK"/>
          <w:sz w:val="28"/>
          <w:szCs w:val="28"/>
        </w:rPr>
        <w:t xml:space="preserve">. 2016;190:328–53. </w:t>
      </w:r>
    </w:p>
    <w:p w:rsidR="004C72C1" w:rsidRPr="004C72C1" w:rsidRDefault="004C72C1" w:rsidP="004C72C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</w:t>
      </w:r>
      <w:r w:rsidRPr="004C72C1">
        <w:rPr>
          <w:rFonts w:ascii="TH SarabunPSK" w:hAnsi="TH SarabunPSK" w:cs="TH SarabunPSK"/>
          <w:sz w:val="28"/>
          <w:szCs w:val="28"/>
        </w:rPr>
        <w:t>Xiaoqing Ying, Chen X, Cheng S, Shen Y, Peng L, Xu HZ. Piperine inhibits IL-1</w:t>
      </w:r>
      <w:r w:rsidRPr="004C72C1">
        <w:rPr>
          <w:rFonts w:ascii="Times New Roman" w:hAnsi="Times New Roman" w:cs="TH SarabunPSK"/>
          <w:sz w:val="28"/>
          <w:szCs w:val="28"/>
        </w:rPr>
        <w:t>β</w:t>
      </w:r>
      <w:r w:rsidRPr="004C72C1">
        <w:rPr>
          <w:rFonts w:ascii="TH SarabunPSK" w:hAnsi="TH SarabunPSK" w:cs="TH SarabunPSK"/>
          <w:sz w:val="28"/>
          <w:szCs w:val="28"/>
        </w:rPr>
        <w:t xml:space="preserve">-induced expression of inflammatory mediators in human osteoarthritis chondrocytes.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Int Immunopharmacol</w:t>
      </w:r>
      <w:r w:rsidRPr="004C72C1">
        <w:rPr>
          <w:rFonts w:ascii="TH SarabunPSK" w:hAnsi="TH SarabunPSK" w:cs="TH SarabunPSK"/>
          <w:sz w:val="28"/>
          <w:szCs w:val="28"/>
        </w:rPr>
        <w:t xml:space="preserve">. 2013;17:293–9. </w:t>
      </w:r>
    </w:p>
    <w:p w:rsidR="004C72C1" w:rsidRPr="004C72C1" w:rsidRDefault="004C72C1" w:rsidP="004C72C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</w:t>
      </w:r>
      <w:r w:rsidRPr="004C72C1">
        <w:rPr>
          <w:rFonts w:ascii="TH SarabunPSK" w:hAnsi="TH SarabunPSK" w:cs="TH SarabunPSK"/>
          <w:sz w:val="28"/>
          <w:szCs w:val="28"/>
        </w:rPr>
        <w:t>Jae Seung Bang, Oh DH, Choi HM, Sur BJ, Lim SJ, Kim JY, et al. Anti-inflammatory and anti-arthritic effects of piperine in human interleukin-1</w:t>
      </w:r>
      <w:r w:rsidRPr="004C72C1">
        <w:rPr>
          <w:rFonts w:ascii="Times New Roman" w:hAnsi="Times New Roman" w:cs="TH SarabunPSK"/>
          <w:sz w:val="28"/>
          <w:szCs w:val="28"/>
        </w:rPr>
        <w:t>β</w:t>
      </w:r>
      <w:r w:rsidRPr="004C72C1">
        <w:rPr>
          <w:rFonts w:ascii="TH SarabunPSK" w:hAnsi="TH SarabunPSK" w:cs="TH SarabunPSK"/>
          <w:sz w:val="28"/>
          <w:szCs w:val="28"/>
        </w:rPr>
        <w:t xml:space="preserve">-stimulated fibroblast-like synoviocytes and in rat arthritis models.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Arthritis Res Ther</w:t>
      </w:r>
      <w:r w:rsidRPr="004C72C1">
        <w:rPr>
          <w:rFonts w:ascii="TH SarabunPSK" w:hAnsi="TH SarabunPSK" w:cs="TH SarabunPSK"/>
          <w:sz w:val="28"/>
          <w:szCs w:val="28"/>
        </w:rPr>
        <w:t xml:space="preserve">. 2009;11:R49. </w:t>
      </w:r>
    </w:p>
    <w:p w:rsidR="004C72C1" w:rsidRPr="004C72C1" w:rsidRDefault="004C72C1" w:rsidP="004C72C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</w:t>
      </w:r>
      <w:r w:rsidRPr="004C72C1">
        <w:rPr>
          <w:rFonts w:ascii="TH SarabunPSK" w:hAnsi="TH SarabunPSK" w:cs="TH SarabunPSK"/>
          <w:sz w:val="28"/>
          <w:szCs w:val="28"/>
        </w:rPr>
        <w:t>Hyung Gun Kim, Han EH, Jang WS, Choi JH, Khanal T, Park BK, et al. Piperine inhibits PMA-induced cyclooxygenase-2 expression through downregulating NF-</w:t>
      </w:r>
      <w:r w:rsidRPr="004C72C1">
        <w:rPr>
          <w:rFonts w:ascii="Times New Roman" w:hAnsi="Times New Roman" w:cs="TH SarabunPSK"/>
          <w:sz w:val="28"/>
          <w:szCs w:val="28"/>
        </w:rPr>
        <w:t>κ</w:t>
      </w:r>
      <w:r w:rsidRPr="004C72C1">
        <w:rPr>
          <w:rFonts w:ascii="TH SarabunPSK" w:hAnsi="TH SarabunPSK" w:cs="TH SarabunPSK"/>
          <w:sz w:val="28"/>
          <w:szCs w:val="28"/>
        </w:rPr>
        <w:t xml:space="preserve">B, C/EBP, and AP-1 signaling pathways in murine macrophages.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Food Chem Toxicol</w:t>
      </w:r>
      <w:r w:rsidRPr="004C72C1">
        <w:rPr>
          <w:rFonts w:ascii="TH SarabunPSK" w:hAnsi="TH SarabunPSK" w:cs="TH SarabunPSK"/>
          <w:sz w:val="28"/>
          <w:szCs w:val="28"/>
        </w:rPr>
        <w:t xml:space="preserve">. 2012;50:2342–8. </w:t>
      </w:r>
    </w:p>
    <w:p w:rsidR="004C72C1" w:rsidRPr="004C72C1" w:rsidRDefault="004C72C1" w:rsidP="004C72C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</w:t>
      </w:r>
      <w:r w:rsidRPr="004C72C1">
        <w:rPr>
          <w:rFonts w:ascii="TH SarabunPSK" w:hAnsi="TH SarabunPSK" w:cs="TH SarabunPSK"/>
          <w:sz w:val="28"/>
          <w:szCs w:val="28"/>
        </w:rPr>
        <w:t>Yong Chul Jung, Kim ME, Yoon JH, Park PR, Youn HY, Lee HW, et al. Anti-inflammatory effects of galangin on lipopolysaccharide-activated macrophages via ERK and NF-</w:t>
      </w:r>
      <w:r w:rsidRPr="004C72C1">
        <w:rPr>
          <w:rFonts w:ascii="Times New Roman" w:hAnsi="Times New Roman" w:cs="TH SarabunPSK"/>
          <w:sz w:val="28"/>
          <w:szCs w:val="28"/>
        </w:rPr>
        <w:t>κ</w:t>
      </w:r>
      <w:r w:rsidRPr="004C72C1">
        <w:rPr>
          <w:rFonts w:ascii="TH SarabunPSK" w:hAnsi="TH SarabunPSK" w:cs="TH SarabunPSK"/>
          <w:sz w:val="28"/>
          <w:szCs w:val="28"/>
        </w:rPr>
        <w:t xml:space="preserve">B pathway regulation.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Immunopharmacol Immunotoxicol</w:t>
      </w:r>
      <w:r w:rsidRPr="004C72C1">
        <w:rPr>
          <w:rFonts w:ascii="TH SarabunPSK" w:hAnsi="TH SarabunPSK" w:cs="TH SarabunPSK"/>
          <w:sz w:val="28"/>
          <w:szCs w:val="28"/>
        </w:rPr>
        <w:t xml:space="preserve">. 2014;36:426–32. </w:t>
      </w:r>
    </w:p>
    <w:p w:rsidR="004C72C1" w:rsidRPr="004C72C1" w:rsidRDefault="004C72C1" w:rsidP="004C72C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</w:t>
      </w:r>
      <w:r w:rsidRPr="004C72C1">
        <w:rPr>
          <w:rFonts w:ascii="TH SarabunPSK" w:hAnsi="TH SarabunPSK" w:cs="TH SarabunPSK"/>
          <w:sz w:val="28"/>
          <w:szCs w:val="28"/>
        </w:rPr>
        <w:t xml:space="preserve">R. Garcia-Villar, Leng-Peschlow E, Ruckebusch Y. Effect of anthraquinone derivatives on canine and rat intestinal motility.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J Pharm Pharmacol</w:t>
      </w:r>
      <w:r w:rsidRPr="004C72C1">
        <w:rPr>
          <w:rFonts w:ascii="TH SarabunPSK" w:hAnsi="TH SarabunPSK" w:cs="TH SarabunPSK"/>
          <w:sz w:val="28"/>
          <w:szCs w:val="28"/>
        </w:rPr>
        <w:t xml:space="preserve">. 1980;32:323–9. </w:t>
      </w:r>
    </w:p>
    <w:p w:rsidR="004C72C1" w:rsidRPr="004C72C1" w:rsidRDefault="004C72C1" w:rsidP="004C72C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</w:t>
      </w:r>
      <w:r w:rsidRPr="004C72C1">
        <w:rPr>
          <w:rFonts w:ascii="TH SarabunPSK" w:hAnsi="TH SarabunPSK" w:cs="TH SarabunPSK"/>
          <w:sz w:val="28"/>
          <w:szCs w:val="28"/>
        </w:rPr>
        <w:t xml:space="preserve">Khaled M. El-Say, Abd-Allah FI, Lila AE, Hassan Ael-S, Kassem AE. Diacerein niosomal gel for topical delivery: development, in vitro and in vivo assessment.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J Liposome Res</w:t>
      </w:r>
      <w:r w:rsidRPr="004C72C1">
        <w:rPr>
          <w:rFonts w:ascii="TH SarabunPSK" w:hAnsi="TH SarabunPSK" w:cs="TH SarabunPSK"/>
          <w:sz w:val="28"/>
          <w:szCs w:val="28"/>
        </w:rPr>
        <w:t xml:space="preserve">. 2016;26:57–68. </w:t>
      </w:r>
    </w:p>
    <w:p w:rsidR="009A466E" w:rsidRDefault="004C72C1" w:rsidP="004C72C1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z w:val="28"/>
          <w:szCs w:val="28"/>
        </w:rPr>
        <w:t xml:space="preserve">        </w:t>
      </w:r>
      <w:r w:rsidRPr="004C72C1">
        <w:rPr>
          <w:rFonts w:ascii="TH SarabunPSK" w:hAnsi="TH SarabunPSK" w:cs="TH SarabunPSK"/>
          <w:sz w:val="28"/>
          <w:szCs w:val="28"/>
        </w:rPr>
        <w:t xml:space="preserve">Timothy E. McAlindon, Bannuru RR, Sullivan MC, Arden NK, Berenbaum F, Bierma-Zeinstra SM, et al. OARSI guidelines for the non-surgical management of knee osteoarthritis. </w:t>
      </w:r>
      <w:r w:rsidRPr="004C72C1">
        <w:rPr>
          <w:rFonts w:ascii="TH SarabunPSK" w:hAnsi="TH SarabunPSK" w:cs="TH SarabunPSK"/>
          <w:i/>
          <w:iCs/>
          <w:sz w:val="28"/>
          <w:szCs w:val="28"/>
        </w:rPr>
        <w:t>Osteoarthritis Cartilage</w:t>
      </w:r>
      <w:r w:rsidRPr="004C72C1">
        <w:rPr>
          <w:rFonts w:ascii="TH SarabunPSK" w:hAnsi="TH SarabunPSK" w:cs="TH SarabunPSK"/>
          <w:sz w:val="28"/>
          <w:szCs w:val="28"/>
        </w:rPr>
        <w:t>. 2014;22:363–88.</w:t>
      </w:r>
    </w:p>
    <w:p w:rsidR="004C72C1" w:rsidRDefault="004C72C1" w:rsidP="004C72C1">
      <w:pPr>
        <w:jc w:val="thaiDistribute"/>
        <w:rPr>
          <w:rFonts w:ascii="TH SarabunPSK" w:hAnsi="TH SarabunPSK" w:cs="TH SarabunPSK"/>
          <w:b/>
          <w:bCs/>
        </w:rPr>
      </w:pPr>
    </w:p>
    <w:p w:rsidR="004C72C1" w:rsidRDefault="004C72C1" w:rsidP="004C72C1">
      <w:pPr>
        <w:jc w:val="thaiDistribute"/>
        <w:rPr>
          <w:rFonts w:ascii="TH SarabunPSK" w:hAnsi="TH SarabunPSK" w:cs="TH SarabunPSK"/>
          <w:b/>
          <w:bCs/>
        </w:rPr>
      </w:pPr>
    </w:p>
    <w:p w:rsidR="004C72C1" w:rsidRDefault="004C72C1" w:rsidP="004C72C1">
      <w:pPr>
        <w:jc w:val="thaiDistribute"/>
        <w:rPr>
          <w:rFonts w:ascii="TH SarabunPSK" w:hAnsi="TH SarabunPSK" w:cs="TH SarabunPSK"/>
          <w:b/>
          <w:bCs/>
        </w:rPr>
      </w:pPr>
    </w:p>
    <w:p w:rsidR="004C72C1" w:rsidRDefault="004C72C1" w:rsidP="004C72C1">
      <w:pPr>
        <w:jc w:val="thaiDistribute"/>
        <w:rPr>
          <w:rFonts w:ascii="TH SarabunPSK" w:hAnsi="TH SarabunPSK" w:cs="TH SarabunPSK"/>
          <w:b/>
          <w:bCs/>
        </w:rPr>
      </w:pPr>
    </w:p>
    <w:p w:rsidR="004C72C1" w:rsidRDefault="004C72C1" w:rsidP="004C72C1">
      <w:pPr>
        <w:jc w:val="thaiDistribute"/>
        <w:rPr>
          <w:rFonts w:ascii="TH SarabunPSK" w:hAnsi="TH SarabunPSK" w:cs="TH SarabunPSK"/>
          <w:b/>
          <w:bCs/>
        </w:rPr>
      </w:pPr>
    </w:p>
    <w:p w:rsidR="004C72C1" w:rsidRDefault="004C72C1" w:rsidP="004C72C1">
      <w:pPr>
        <w:jc w:val="thaiDistribute"/>
        <w:rPr>
          <w:rFonts w:ascii="TH SarabunPSK" w:hAnsi="TH SarabunPSK" w:cs="TH SarabunPSK"/>
          <w:b/>
          <w:bCs/>
        </w:rPr>
      </w:pPr>
    </w:p>
    <w:p w:rsidR="004C72C1" w:rsidRDefault="004C72C1" w:rsidP="004C72C1">
      <w:pPr>
        <w:jc w:val="thaiDistribute"/>
        <w:rPr>
          <w:rFonts w:ascii="TH SarabunPSK" w:hAnsi="TH SarabunPSK" w:cs="TH SarabunPSK"/>
          <w:b/>
          <w:bCs/>
        </w:rPr>
      </w:pPr>
    </w:p>
    <w:p w:rsidR="00C52D9E" w:rsidRPr="00E91036" w:rsidRDefault="00C52D9E" w:rsidP="00C52D9E">
      <w:pPr>
        <w:pStyle w:val="a6"/>
        <w:spacing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103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เอกสารรับรองโครงการวิจัยแบบเต็มคณะ </w:t>
      </w:r>
      <w:r w:rsidRPr="00E91036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โดยคณะกรรมการจริยธรรมการวิจัยในมนุษย์โรงพยาบาลศรีสะเกษดำเนินการให้การรับรองโครงการวิจัยตามแนวหลักจริยธรรมเกี่ยวกับคนที่เป็นมาตรฐานสากล </w:t>
      </w:r>
      <w:r w:rsidRPr="00E91036">
        <w:rPr>
          <w:rFonts w:ascii="TH SarabunIT๙" w:hAnsi="TH SarabunIT๙" w:cs="TH SarabunIT๙"/>
          <w:b/>
          <w:bCs/>
          <w:sz w:val="32"/>
          <w:szCs w:val="32"/>
          <w:cs/>
        </w:rPr>
        <w:br/>
        <w:t>หมายเลข โครงการวิจัย ๐๑๐/๒๕๖๘</w:t>
      </w:r>
    </w:p>
    <w:p w:rsidR="00C52D9E" w:rsidRPr="00E91036" w:rsidRDefault="00C52D9E" w:rsidP="00C52D9E">
      <w:pPr>
        <w:pStyle w:val="a6"/>
        <w:spacing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E91036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-117850</wp:posOffset>
            </wp:positionH>
            <wp:positionV relativeFrom="paragraph">
              <wp:posOffset>53394</wp:posOffset>
            </wp:positionV>
            <wp:extent cx="5938536" cy="8130448"/>
            <wp:effectExtent l="19050" t="0" r="5064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1046" t="2907" r="31699" b="6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36" cy="813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2C1" w:rsidRPr="009A466E" w:rsidRDefault="004C72C1" w:rsidP="004C72C1">
      <w:pPr>
        <w:jc w:val="thaiDistribute"/>
        <w:rPr>
          <w:rFonts w:ascii="TH SarabunPSK" w:hAnsi="TH SarabunPSK" w:cs="TH SarabunPSK"/>
          <w:b/>
          <w:bCs/>
        </w:rPr>
      </w:pPr>
    </w:p>
    <w:sectPr w:rsidR="004C72C1" w:rsidRPr="009A466E" w:rsidSect="00F45A02">
      <w:pgSz w:w="11906" w:h="16838"/>
      <w:pgMar w:top="1134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84B" w:rsidRDefault="005A784B" w:rsidP="00F27D31">
      <w:r>
        <w:separator/>
      </w:r>
    </w:p>
  </w:endnote>
  <w:endnote w:type="continuationSeparator" w:id="1">
    <w:p w:rsidR="005A784B" w:rsidRDefault="005A784B" w:rsidP="00F27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ngsanaUPC">
    <w:altName w:val="TH NiramitIT๙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84B" w:rsidRDefault="005A784B" w:rsidP="00F27D31">
      <w:r>
        <w:separator/>
      </w:r>
    </w:p>
  </w:footnote>
  <w:footnote w:type="continuationSeparator" w:id="1">
    <w:p w:rsidR="005A784B" w:rsidRDefault="005A784B" w:rsidP="00F27D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96B50"/>
    <w:multiLevelType w:val="hybridMultilevel"/>
    <w:tmpl w:val="37C6F086"/>
    <w:lvl w:ilvl="0" w:tplc="FF26000A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584106A5"/>
    <w:multiLevelType w:val="multilevel"/>
    <w:tmpl w:val="A68C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91265"/>
    <w:rsid w:val="00002DCF"/>
    <w:rsid w:val="00032D7F"/>
    <w:rsid w:val="000616D3"/>
    <w:rsid w:val="00062FB2"/>
    <w:rsid w:val="000C63B3"/>
    <w:rsid w:val="000F4387"/>
    <w:rsid w:val="00172C2E"/>
    <w:rsid w:val="001761CF"/>
    <w:rsid w:val="001856A4"/>
    <w:rsid w:val="00190103"/>
    <w:rsid w:val="001C5AFC"/>
    <w:rsid w:val="001D7A88"/>
    <w:rsid w:val="00247AB8"/>
    <w:rsid w:val="00256115"/>
    <w:rsid w:val="00284D9F"/>
    <w:rsid w:val="002B709A"/>
    <w:rsid w:val="002D4D78"/>
    <w:rsid w:val="002E6BC6"/>
    <w:rsid w:val="00367908"/>
    <w:rsid w:val="00372AB8"/>
    <w:rsid w:val="003B7081"/>
    <w:rsid w:val="004043C6"/>
    <w:rsid w:val="004069D7"/>
    <w:rsid w:val="00411503"/>
    <w:rsid w:val="00425EB4"/>
    <w:rsid w:val="00435F83"/>
    <w:rsid w:val="00474C8F"/>
    <w:rsid w:val="004B16C4"/>
    <w:rsid w:val="004C72C1"/>
    <w:rsid w:val="004F38DC"/>
    <w:rsid w:val="00571432"/>
    <w:rsid w:val="005A784B"/>
    <w:rsid w:val="005E1EE5"/>
    <w:rsid w:val="005F4695"/>
    <w:rsid w:val="00686876"/>
    <w:rsid w:val="006A2EBD"/>
    <w:rsid w:val="006A68C1"/>
    <w:rsid w:val="006F694D"/>
    <w:rsid w:val="00733575"/>
    <w:rsid w:val="00764C59"/>
    <w:rsid w:val="00777AD3"/>
    <w:rsid w:val="007A57FC"/>
    <w:rsid w:val="00825D07"/>
    <w:rsid w:val="00830A79"/>
    <w:rsid w:val="00855FAC"/>
    <w:rsid w:val="0089238E"/>
    <w:rsid w:val="008E5469"/>
    <w:rsid w:val="009177D4"/>
    <w:rsid w:val="009872F9"/>
    <w:rsid w:val="009A466E"/>
    <w:rsid w:val="009D4D24"/>
    <w:rsid w:val="009F6A96"/>
    <w:rsid w:val="009F6E91"/>
    <w:rsid w:val="00A037D9"/>
    <w:rsid w:val="00A91265"/>
    <w:rsid w:val="00AC2FD9"/>
    <w:rsid w:val="00B2290E"/>
    <w:rsid w:val="00B50112"/>
    <w:rsid w:val="00B54812"/>
    <w:rsid w:val="00B65BFC"/>
    <w:rsid w:val="00C361E0"/>
    <w:rsid w:val="00C52D9E"/>
    <w:rsid w:val="00C549AE"/>
    <w:rsid w:val="00C6774F"/>
    <w:rsid w:val="00CB3856"/>
    <w:rsid w:val="00CB6782"/>
    <w:rsid w:val="00D122DD"/>
    <w:rsid w:val="00D53C0D"/>
    <w:rsid w:val="00D77BA2"/>
    <w:rsid w:val="00D9241A"/>
    <w:rsid w:val="00D93EFE"/>
    <w:rsid w:val="00DA1EBA"/>
    <w:rsid w:val="00E05778"/>
    <w:rsid w:val="00E324B7"/>
    <w:rsid w:val="00F266B6"/>
    <w:rsid w:val="00F27D31"/>
    <w:rsid w:val="00F36C82"/>
    <w:rsid w:val="00F45A02"/>
    <w:rsid w:val="00F56246"/>
    <w:rsid w:val="00F85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6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1265"/>
    <w:pPr>
      <w:spacing w:after="120"/>
    </w:pPr>
    <w:rPr>
      <w:szCs w:val="40"/>
    </w:rPr>
  </w:style>
  <w:style w:type="character" w:customStyle="1" w:styleId="a4">
    <w:name w:val="เนื้อความ อักขระ"/>
    <w:basedOn w:val="a0"/>
    <w:link w:val="a3"/>
    <w:rsid w:val="00A91265"/>
    <w:rPr>
      <w:rFonts w:ascii="Angsana New" w:eastAsia="Times New Roman" w:hAnsi="Angsana New" w:cs="Angsana New"/>
      <w:sz w:val="32"/>
      <w:szCs w:val="40"/>
    </w:rPr>
  </w:style>
  <w:style w:type="paragraph" w:customStyle="1" w:styleId="Default">
    <w:name w:val="Default"/>
    <w:rsid w:val="00A91265"/>
    <w:pPr>
      <w:autoSpaceDE w:val="0"/>
      <w:autoSpaceDN w:val="0"/>
      <w:adjustRightInd w:val="0"/>
      <w:spacing w:after="0" w:line="240" w:lineRule="auto"/>
    </w:pPr>
    <w:rPr>
      <w:rFonts w:ascii="AngsanaUPC" w:eastAsia="Times New Roman" w:hAnsi="AngsanaUPC" w:cs="AngsanaUPC"/>
      <w:color w:val="000000"/>
      <w:sz w:val="24"/>
      <w:szCs w:val="24"/>
    </w:rPr>
  </w:style>
  <w:style w:type="paragraph" w:styleId="a5">
    <w:name w:val="No Spacing"/>
    <w:uiPriority w:val="1"/>
    <w:qFormat/>
    <w:rsid w:val="00A91265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Normal (Web)"/>
    <w:basedOn w:val="a"/>
    <w:uiPriority w:val="99"/>
    <w:unhideWhenUsed/>
    <w:rsid w:val="00F27D31"/>
    <w:pPr>
      <w:spacing w:before="100" w:beforeAutospacing="1" w:after="100" w:afterAutospacing="1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27D31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F27D31"/>
    <w:rPr>
      <w:rFonts w:ascii="Angsana New" w:eastAsia="Times New Roman" w:hAnsi="Angsana New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F27D31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F27D31"/>
    <w:rPr>
      <w:rFonts w:ascii="Angsana New" w:eastAsia="Times New Roman" w:hAnsi="Angsana New" w:cs="Angsana New"/>
      <w:sz w:val="32"/>
      <w:szCs w:val="40"/>
    </w:rPr>
  </w:style>
  <w:style w:type="character" w:styleId="ab">
    <w:name w:val="Emphasis"/>
    <w:basedOn w:val="a0"/>
    <w:uiPriority w:val="20"/>
    <w:qFormat/>
    <w:rsid w:val="001D7A88"/>
    <w:rPr>
      <w:i/>
      <w:iCs/>
    </w:rPr>
  </w:style>
  <w:style w:type="character" w:customStyle="1" w:styleId="whitespace-normal">
    <w:name w:val="whitespace-normal"/>
    <w:basedOn w:val="a0"/>
    <w:rsid w:val="004C72C1"/>
  </w:style>
  <w:style w:type="paragraph" w:styleId="ac">
    <w:name w:val="List Paragraph"/>
    <w:basedOn w:val="a"/>
    <w:uiPriority w:val="34"/>
    <w:qFormat/>
    <w:rsid w:val="004C72C1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13EB3-1980-460B-8E54-29E791DE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panthai</dc:creator>
  <cp:lastModifiedBy>panthai</cp:lastModifiedBy>
  <cp:revision>7</cp:revision>
  <dcterms:created xsi:type="dcterms:W3CDTF">2026-05-01T08:44:00Z</dcterms:created>
  <dcterms:modified xsi:type="dcterms:W3CDTF">2026-05-08T04:29:00Z</dcterms:modified>
</cp:coreProperties>
</file>