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2D85" w14:textId="77777777" w:rsidR="0080528F" w:rsidRPr="0080528F" w:rsidRDefault="0080528F" w:rsidP="0080528F">
      <w:pPr>
        <w:ind w:left="284"/>
        <w:jc w:val="center"/>
        <w:rPr>
          <w:rStyle w:val="a3"/>
          <w:rFonts w:ascii="TH SarabunPSK" w:hAnsi="TH SarabunPSK" w:cs="TH SarabunPSK"/>
          <w:b/>
          <w:bCs/>
          <w:color w:val="auto"/>
          <w:sz w:val="40"/>
          <w:szCs w:val="40"/>
          <w:u w:val="none"/>
        </w:rPr>
      </w:pPr>
      <w:r w:rsidRPr="0080528F">
        <w:rPr>
          <w:rFonts w:ascii="TH SarabunPSK" w:hAnsi="TH SarabunPSK" w:cs="TH SarabunPSK"/>
          <w:b/>
          <w:bCs/>
          <w:sz w:val="40"/>
          <w:szCs w:val="40"/>
        </w:rPr>
        <w:fldChar w:fldCharType="begin"/>
      </w:r>
      <w:r w:rsidRPr="0080528F">
        <w:rPr>
          <w:rFonts w:ascii="TH SarabunPSK" w:hAnsi="TH SarabunPSK" w:cs="TH SarabunPSK"/>
          <w:b/>
          <w:bCs/>
          <w:sz w:val="40"/>
          <w:szCs w:val="40"/>
        </w:rPr>
        <w:instrText>HYPERLINK "https://hpc2appcenter.anamai.moph.go.th/academic/web/site/proceeding?event_id=1&amp;page=cqi"</w:instrText>
      </w:r>
      <w:r w:rsidRPr="0080528F">
        <w:rPr>
          <w:rFonts w:ascii="TH SarabunPSK" w:hAnsi="TH SarabunPSK" w:cs="TH SarabunPSK"/>
          <w:b/>
          <w:bCs/>
          <w:sz w:val="40"/>
          <w:szCs w:val="40"/>
        </w:rPr>
      </w:r>
      <w:r w:rsidRPr="0080528F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80528F">
        <w:rPr>
          <w:rStyle w:val="a3"/>
          <w:rFonts w:ascii="TH SarabunPSK" w:hAnsi="TH SarabunPSK" w:cs="TH SarabunPSK"/>
          <w:b/>
          <w:bCs/>
          <w:color w:val="auto"/>
          <w:sz w:val="36"/>
          <w:szCs w:val="36"/>
          <w:u w:val="none"/>
          <w:cs/>
        </w:rPr>
        <w:t>ผลงานการพัฒนาคุณภาพอย่างต่อเนื่อง (</w:t>
      </w:r>
      <w:r w:rsidRPr="0080528F">
        <w:rPr>
          <w:rStyle w:val="a3"/>
          <w:rFonts w:ascii="TH SarabunPSK" w:hAnsi="TH SarabunPSK" w:cs="TH SarabunPSK"/>
          <w:b/>
          <w:bCs/>
          <w:color w:val="auto"/>
          <w:sz w:val="36"/>
          <w:szCs w:val="36"/>
          <w:u w:val="none"/>
        </w:rPr>
        <w:t>CQI)</w:t>
      </w:r>
      <w:r w:rsidRPr="0080528F">
        <w:rPr>
          <w:rStyle w:val="a3"/>
          <w:rFonts w:ascii="TH SarabunPSK" w:hAnsi="TH SarabunPSK" w:cs="TH SarabunPSK"/>
          <w:b/>
          <w:bCs/>
          <w:color w:val="auto"/>
          <w:sz w:val="40"/>
          <w:szCs w:val="40"/>
          <w:u w:val="none"/>
        </w:rPr>
        <w:t xml:space="preserve"> </w:t>
      </w:r>
    </w:p>
    <w:p w14:paraId="36BE35C3" w14:textId="77777777" w:rsidR="0080528F" w:rsidRDefault="0080528F" w:rsidP="0080528F">
      <w:pPr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528F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r w:rsidRPr="00D82929">
        <w:rPr>
          <w:rFonts w:ascii="TH SarabunPSK" w:hAnsi="TH SarabunPSK" w:cs="TH SarabunPSK"/>
          <w:b/>
          <w:bCs/>
          <w:sz w:val="36"/>
          <w:szCs w:val="36"/>
          <w:cs/>
        </w:rPr>
        <w:t>ชื่อผลงาน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การเพิ่มการเข้าถึงบริการ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ทันตกรรมป้องกัน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ในกลุ่ม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เสี่ยง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วัยทำงานด้วย</w:t>
      </w:r>
      <w:r w:rsidRPr="00B67568">
        <w:rPr>
          <w:rFonts w:ascii="TH SarabunPSK" w:hAnsi="TH SarabunPSK" w:cs="TH SarabunPSK"/>
          <w:b/>
          <w:bCs/>
          <w:sz w:val="36"/>
          <w:szCs w:val="36"/>
          <w:cs/>
        </w:rPr>
        <w:t>การให้บริการ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เคลือบฟลูออไรด์วานิชเชิงรุก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ในชุมชน</w:t>
      </w:r>
    </w:p>
    <w:p w14:paraId="3A2149CA" w14:textId="77777777" w:rsidR="0080528F" w:rsidRPr="007B5ED1" w:rsidRDefault="0080528F" w:rsidP="0080528F">
      <w:pPr>
        <w:jc w:val="center"/>
        <w:rPr>
          <w:rFonts w:ascii="TH SarabunPSK" w:hAnsi="TH SarabunPSK" w:cs="TH SarabunPSK" w:hint="cs"/>
          <w:sz w:val="24"/>
          <w:szCs w:val="24"/>
          <w:cs/>
        </w:rPr>
      </w:pPr>
      <w:r w:rsidRPr="007B5ED1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</w:t>
      </w:r>
      <w:r w:rsidRPr="007B5ED1">
        <w:rPr>
          <w:rFonts w:ascii="TH SarabunPSK" w:hAnsi="TH SarabunPSK" w:cs="TH SarabunPSK" w:hint="cs"/>
          <w:sz w:val="32"/>
          <w:szCs w:val="32"/>
          <w:cs/>
        </w:rPr>
        <w:t>นิลประภา ทศแก้ว</w:t>
      </w:r>
      <w:r>
        <w:rPr>
          <w:rStyle w:val="a6"/>
          <w:rFonts w:ascii="TH SarabunPSK" w:hAnsi="TH SarabunPSK" w:cs="TH SarabunPSK"/>
          <w:sz w:val="32"/>
          <w:szCs w:val="32"/>
          <w:cs/>
        </w:rPr>
        <w:footnoteReference w:id="1"/>
      </w:r>
    </w:p>
    <w:p w14:paraId="2A189CF5" w14:textId="77777777" w:rsidR="0080528F" w:rsidRPr="005148DE" w:rsidRDefault="0080528F" w:rsidP="008052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8D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0D4A1CED" w14:textId="7DFECD39" w:rsidR="0080528F" w:rsidRPr="005148DE" w:rsidRDefault="0080528F" w:rsidP="008052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148DE">
        <w:rPr>
          <w:rFonts w:ascii="TH SarabunPSK" w:hAnsi="TH SarabunPSK" w:cs="TH SarabunPSK"/>
          <w:sz w:val="32"/>
          <w:szCs w:val="32"/>
          <w:cs/>
        </w:rPr>
        <w:t>การพัฒนาคุณภาพอย่างต่อเนื่อง (</w:t>
      </w:r>
      <w:r w:rsidRPr="005148DE">
        <w:rPr>
          <w:rFonts w:ascii="TH SarabunPSK" w:hAnsi="TH SarabunPSK" w:cs="TH SarabunPSK"/>
          <w:sz w:val="32"/>
          <w:szCs w:val="32"/>
        </w:rPr>
        <w:t xml:space="preserve">CQI) </w:t>
      </w:r>
      <w:r w:rsidRPr="005148DE">
        <w:rPr>
          <w:rFonts w:ascii="TH SarabunPSK" w:hAnsi="TH SarabunPSK" w:cs="TH SarabunPSK"/>
          <w:sz w:val="32"/>
          <w:szCs w:val="32"/>
          <w:cs/>
        </w:rPr>
        <w:t>เรื่อง “การเพิ่มการเข้าถึงบริการทันตกรรมป้องกันใน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กลุ่มเสี่ยงวัยทำงานด้วยการให้บริการเคลือบฟลูออไรด์วานิชเชิงรุกในชุมชน” มีวัตถุประสงค์เพื่อให้ประชาชนวัยทำงานกลุ่มเสี่ยงต่อการเกิดโรคฟันผุได้รับบริการเคลือบฟลูออไรด์วานิชเชิงรุกในชุมช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และเพื่อพัฒนารูปแบบการให้บริการทันตกรรมเชิงรุกให้เหมาะสมกับบริบทของพื้นที่ระดับปฐมภูมิ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โดยประยุกต์ใช้กระบวนการพัฒนาคุณภาพอย่างต่อเนื่องตามแนวคิด </w:t>
      </w:r>
      <w:r w:rsidRPr="005148DE">
        <w:rPr>
          <w:rFonts w:ascii="TH SarabunPSK" w:hAnsi="TH SarabunPSK" w:cs="TH SarabunPSK"/>
          <w:sz w:val="32"/>
          <w:szCs w:val="32"/>
        </w:rPr>
        <w:t xml:space="preserve">PDCA (Plan-Do-Check-Act)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ร่วมกับการวิเคราะห์สาเหตุของปัญหาตามแนวคิด </w:t>
      </w:r>
      <w:r w:rsidRPr="005148DE">
        <w:rPr>
          <w:rFonts w:ascii="TH SarabunPSK" w:hAnsi="TH SarabunPSK" w:cs="TH SarabunPSK"/>
          <w:sz w:val="32"/>
          <w:szCs w:val="32"/>
        </w:rPr>
        <w:t xml:space="preserve">6M </w:t>
      </w:r>
      <w:r w:rsidRPr="005148DE">
        <w:rPr>
          <w:rFonts w:ascii="TH SarabunPSK" w:hAnsi="TH SarabunPSK" w:cs="TH SarabunPSK"/>
          <w:sz w:val="32"/>
          <w:szCs w:val="32"/>
          <w:cs/>
        </w:rPr>
        <w:t>ในการวางแผนและพัฒนาระบบบริการ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8DE">
        <w:rPr>
          <w:rFonts w:ascii="TH SarabunPSK" w:hAnsi="TH SarabunPSK" w:cs="TH SarabunPSK"/>
          <w:sz w:val="32"/>
          <w:szCs w:val="32"/>
          <w:cs/>
        </w:rPr>
        <w:t>ดำเนินการโดยศึกษาสถานการณ์ปัญหา วิเคราะห์สาเหตุของการเข้าถึงบริการทันตกรรมป้องกัน วางแผนร่วมกับภาคีเครือข่าย และออกให้บริการทันตกรรมเชิงรุกในชุมชน ประกอบด้วยการตรวจคัดกรองสุขภาพช่องปาก การค้นหากลุ่มเสี่ยงต่อการเกิดโรคฟันผุ การให้บริการเคลือบฟลูออไรด์วานิช และการให้ความรู้ด้าน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>ทันตสุขภาพ พร้อมทั้งมีการติดตามประเมินผลและปรับปรุงการดำเนินงานอย่างต่อเนื่อง</w:t>
      </w:r>
    </w:p>
    <w:p w14:paraId="6F44733B" w14:textId="380D19D6" w:rsidR="0080528F" w:rsidRPr="005148DE" w:rsidRDefault="0080528F" w:rsidP="008052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ประชาชนวัยทำงานได้รับการตรวจคัดกรองสุขภาพช่องปากจำนวน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</w:rPr>
        <w:t xml:space="preserve">239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22.81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ซึ่งสูงกว่าเป้าหมายที่กำหนดไว้ที่ร้อยละ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15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และพบประชาชนกลุ่มเสี่ยงต่อการเกิดโรคฟันผุจำนวน </w:t>
      </w:r>
      <w:r w:rsidRPr="005148DE">
        <w:rPr>
          <w:rFonts w:ascii="TH SarabunPSK" w:hAnsi="TH SarabunPSK" w:cs="TH SarabunPSK"/>
          <w:sz w:val="32"/>
          <w:szCs w:val="32"/>
        </w:rPr>
        <w:t xml:space="preserve">190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คน โดยได้รับบริการเคลือบฟลูออไรด์วานิชจำนวน </w:t>
      </w:r>
      <w:r w:rsidRPr="005148DE">
        <w:rPr>
          <w:rFonts w:ascii="TH SarabunPSK" w:hAnsi="TH SarabunPSK" w:cs="TH SarabunPSK"/>
          <w:sz w:val="32"/>
          <w:szCs w:val="32"/>
        </w:rPr>
        <w:t xml:space="preserve">187 </w:t>
      </w:r>
      <w:r w:rsidRPr="005148DE">
        <w:rPr>
          <w:rFonts w:ascii="TH SarabunPSK" w:hAnsi="TH SarabunPSK" w:cs="TH SarabunPSK"/>
          <w:sz w:val="32"/>
          <w:szCs w:val="32"/>
          <w:cs/>
        </w:rPr>
        <w:t>คน คิดเป็น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98.42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ของกลุ่มเสี่ยงทั้งหมด ซึ่งสูงกว่าเป้าหมายที่กำหนดไว้ที่ร้อยละ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80 </w:t>
      </w:r>
    </w:p>
    <w:p w14:paraId="3005950C" w14:textId="6A9E9D88" w:rsidR="0080528F" w:rsidRPr="005148DE" w:rsidRDefault="0080528F" w:rsidP="008052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148DE">
        <w:rPr>
          <w:rFonts w:ascii="TH SarabunPSK" w:hAnsi="TH SarabunPSK" w:cs="TH SarabunPSK"/>
          <w:sz w:val="32"/>
          <w:szCs w:val="32"/>
          <w:cs/>
        </w:rPr>
        <w:t>สรุปได้ว่า การพัฒนารูปแบบการให้บริการทันตกรรมป้องกันเชิงรุกด้วยการเคลือบฟลูออไรด์วานิชในชุมชน สามารถเพิ่มการเข้าถึงบริการทันตกรรมป้องกันของประชาชนวัยทำงานได้อย่างมีประสิทธิภาพ ลดข้อจำกัดด้านเวลาและการเดินทาง อีกทั้งยังเป็นรูปแบบการดำเนินงานที่เหมาะสมกับบริบทของพื้นที่ และสามารถนำไปประยุกต์ใช้หรือขยายผลในการดำเนินงานด้านทันตสาธารณสุขในพื้นที่อื่นต่อไป</w:t>
      </w:r>
    </w:p>
    <w:p w14:paraId="6133B583" w14:textId="77777777" w:rsidR="0080528F" w:rsidRDefault="0080528F" w:rsidP="008052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C75FB9" w14:textId="77777777" w:rsidR="0080528F" w:rsidRDefault="0080528F" w:rsidP="008052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49B3EA" w14:textId="39FB3B09" w:rsidR="0023729A" w:rsidRPr="0080528F" w:rsidRDefault="0080528F">
      <w:pPr>
        <w:rPr>
          <w:rFonts w:ascii="TH SarabunPSK" w:hAnsi="TH SarabunPSK" w:cs="TH SarabunPSK" w:hint="cs"/>
          <w:sz w:val="32"/>
          <w:szCs w:val="32"/>
        </w:rPr>
      </w:pPr>
      <w:r w:rsidRPr="003D69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D69C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376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วัยทำงาน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เคลือบฟลูออไรด์วานิช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ทันตกรรมเชิงรุก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ฟันผุ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23729A" w:rsidRPr="0080528F" w:rsidSect="0080528F">
      <w:pgSz w:w="12240" w:h="15840"/>
      <w:pgMar w:top="1440" w:right="1440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6894D" w14:textId="77777777" w:rsidR="0078728E" w:rsidRDefault="0078728E" w:rsidP="0080528F">
      <w:pPr>
        <w:spacing w:after="0" w:line="240" w:lineRule="auto"/>
      </w:pPr>
      <w:r>
        <w:separator/>
      </w:r>
    </w:p>
  </w:endnote>
  <w:endnote w:type="continuationSeparator" w:id="0">
    <w:p w14:paraId="1CC4F533" w14:textId="77777777" w:rsidR="0078728E" w:rsidRDefault="0078728E" w:rsidP="0080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271FB" w14:textId="77777777" w:rsidR="0078728E" w:rsidRDefault="0078728E" w:rsidP="0080528F">
      <w:pPr>
        <w:spacing w:after="0" w:line="240" w:lineRule="auto"/>
      </w:pPr>
      <w:r>
        <w:separator/>
      </w:r>
    </w:p>
  </w:footnote>
  <w:footnote w:type="continuationSeparator" w:id="0">
    <w:p w14:paraId="4545F761" w14:textId="77777777" w:rsidR="0078728E" w:rsidRDefault="0078728E" w:rsidP="0080528F">
      <w:pPr>
        <w:spacing w:after="0" w:line="240" w:lineRule="auto"/>
      </w:pPr>
      <w:r>
        <w:continuationSeparator/>
      </w:r>
    </w:p>
  </w:footnote>
  <w:footnote w:id="1">
    <w:p w14:paraId="79F9254C" w14:textId="77777777" w:rsidR="0080528F" w:rsidRDefault="0080528F" w:rsidP="0080528F">
      <w:pPr>
        <w:pStyle w:val="a4"/>
        <w:rPr>
          <w:rFonts w:hint="cs"/>
          <w:cs/>
        </w:rPr>
      </w:pPr>
      <w:r>
        <w:rPr>
          <w:rStyle w:val="a6"/>
        </w:rPr>
        <w:footnoteRef/>
      </w:r>
      <w:r>
        <w:t xml:space="preserve"> </w:t>
      </w:r>
      <w:r>
        <w:rPr>
          <w:rFonts w:hint="cs"/>
          <w:cs/>
        </w:rPr>
        <w:t xml:space="preserve">กลุ่มงานทันตกรรม โรงพยาบาลพยุห์ อำเภอพยุห์ จังหวัดศรีษะเกด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F"/>
    <w:rsid w:val="001A66F2"/>
    <w:rsid w:val="0023729A"/>
    <w:rsid w:val="0078728E"/>
    <w:rsid w:val="0080528F"/>
    <w:rsid w:val="00C76D3E"/>
    <w:rsid w:val="00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6786"/>
  <w15:chartTrackingRefBased/>
  <w15:docId w15:val="{E59FE1B3-6071-473F-B645-86EB9592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28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0528F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80528F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805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IT-Rattanahos</dc:creator>
  <cp:keywords/>
  <dc:description/>
  <cp:lastModifiedBy>IT-Rattanahos</cp:lastModifiedBy>
  <cp:revision>1</cp:revision>
  <dcterms:created xsi:type="dcterms:W3CDTF">2026-05-12T03:18:00Z</dcterms:created>
  <dcterms:modified xsi:type="dcterms:W3CDTF">2026-05-12T03:25:00Z</dcterms:modified>
</cp:coreProperties>
</file>