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1B46" w14:textId="77777777" w:rsidR="00474BD4" w:rsidRPr="0018393E" w:rsidRDefault="00474BD4" w:rsidP="007F5BAC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14:paraId="137C255F" w14:textId="77777777" w:rsidR="00474BD4" w:rsidRPr="00474BD4" w:rsidRDefault="00474BD4" w:rsidP="00474B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74BD4">
        <w:rPr>
          <w:rFonts w:ascii="TH SarabunPSK" w:hAnsi="TH SarabunPSK" w:cs="TH SarabunPSK"/>
          <w:b/>
          <w:bCs/>
          <w:sz w:val="36"/>
          <w:szCs w:val="36"/>
          <w:cs/>
        </w:rPr>
        <w:t>โภชนาการเชิงรักษาในผู้ป่วยเบาหวานชนิดที่ 2: หลักฐานจากงานวิจัยปัจจุบัน</w:t>
      </w:r>
    </w:p>
    <w:p w14:paraId="1CB2784B" w14:textId="77777777" w:rsidR="00474BD4" w:rsidRPr="00474BD4" w:rsidRDefault="00474BD4" w:rsidP="00474B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4BD4">
        <w:rPr>
          <w:rFonts w:ascii="TH SarabunPSK" w:hAnsi="TH SarabunPSK" w:cs="TH SarabunPSK"/>
          <w:b/>
          <w:bCs/>
          <w:sz w:val="36"/>
          <w:szCs w:val="36"/>
        </w:rPr>
        <w:t>Therapeutic Nutrition in Patients with Type 2 Diabetes Mellitus: Evidence from Current Research</w:t>
      </w:r>
    </w:p>
    <w:p w14:paraId="54CB2083" w14:textId="5D3B4B5F" w:rsidR="00474BD4" w:rsidRPr="007F5BAC" w:rsidRDefault="00474BD4" w:rsidP="00F504AE">
      <w:pPr>
        <w:spacing w:after="0" w:line="240" w:lineRule="auto"/>
        <w:rPr>
          <w:rFonts w:ascii="TH SarabunPSK" w:hAnsi="TH SarabunPSK" w:cs="TH SarabunPSK"/>
          <w:sz w:val="28"/>
        </w:rPr>
      </w:pPr>
      <w:r w:rsidRPr="007F5BAC">
        <w:rPr>
          <w:rFonts w:ascii="TH SarabunPSK" w:hAnsi="TH SarabunPSK" w:cs="TH SarabunPSK"/>
          <w:b/>
          <w:bCs/>
          <w:sz w:val="28"/>
          <w:cs/>
        </w:rPr>
        <w:t>เมธี วิรุณพันธ์</w:t>
      </w:r>
    </w:p>
    <w:p w14:paraId="0FAB379B" w14:textId="2764B332" w:rsidR="00474BD4" w:rsidRPr="00474BD4" w:rsidRDefault="00474BD4" w:rsidP="00474BD4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474BD4">
        <w:rPr>
          <w:rFonts w:ascii="TH SarabunPSK" w:hAnsi="TH SarabunPSK" w:cs="TH SarabunPSK"/>
          <w:sz w:val="24"/>
          <w:szCs w:val="24"/>
          <w:cs/>
        </w:rPr>
        <w:t xml:space="preserve">โรงพยาบาลศิลาลาด </w:t>
      </w:r>
    </w:p>
    <w:p w14:paraId="6F34217A" w14:textId="77777777" w:rsidR="00474BD4" w:rsidRDefault="00474BD4" w:rsidP="00474BD4">
      <w:pPr>
        <w:spacing w:after="0" w:line="240" w:lineRule="auto"/>
      </w:pPr>
      <w:r>
        <w:rPr>
          <w:rFonts w:hint="cs"/>
          <w:cs/>
        </w:rPr>
        <w:t xml:space="preserve">บทนำ </w:t>
      </w:r>
    </w:p>
    <w:p w14:paraId="34F5BE0D" w14:textId="68D5DAB4" w:rsidR="00474BD4" w:rsidRPr="00474BD4" w:rsidRDefault="00474BD4" w:rsidP="00474BD4">
      <w:pPr>
        <w:spacing w:after="0" w:line="240" w:lineRule="auto"/>
      </w:pPr>
      <w:r>
        <w:rPr>
          <w:rFonts w:hint="cs"/>
          <w:cs/>
        </w:rPr>
        <w:t>หลักการและผล</w:t>
      </w:r>
    </w:p>
    <w:p w14:paraId="19EB3AA4" w14:textId="2EBE99FD" w:rsidR="00474BD4" w:rsidRDefault="00474BD4" w:rsidP="00474BD4">
      <w:pPr>
        <w:spacing w:after="0" w:line="240" w:lineRule="auto"/>
        <w:rPr>
          <w:rFonts w:cs="Cordia New"/>
        </w:rPr>
      </w:pPr>
      <w:r w:rsidRPr="00474BD4">
        <w:rPr>
          <w:rFonts w:cs="Cordia New"/>
          <w:cs/>
        </w:rPr>
        <w:t xml:space="preserve">งานวิจัยของ </w:t>
      </w:r>
      <w:r w:rsidRPr="00474BD4">
        <w:rPr>
          <w:rFonts w:cs="Cordia New"/>
        </w:rPr>
        <w:t xml:space="preserve">Yi Liu et al. </w:t>
      </w:r>
      <w:r w:rsidRPr="00474BD4">
        <w:rPr>
          <w:rFonts w:cs="Cordia New"/>
          <w:cs/>
        </w:rPr>
        <w:t xml:space="preserve">เป็น </w:t>
      </w:r>
      <w:r w:rsidRPr="00474BD4">
        <w:rPr>
          <w:rFonts w:cs="Cordia New"/>
        </w:rPr>
        <w:t xml:space="preserve">systematic review </w:t>
      </w:r>
      <w:r w:rsidRPr="00474BD4">
        <w:rPr>
          <w:rFonts w:cs="Cordia New"/>
          <w:cs/>
        </w:rPr>
        <w:t xml:space="preserve">และ </w:t>
      </w:r>
      <w:r w:rsidRPr="00474BD4">
        <w:rPr>
          <w:rFonts w:cs="Cordia New"/>
        </w:rPr>
        <w:t xml:space="preserve">network meta-analysis </w:t>
      </w:r>
      <w:r w:rsidRPr="00474BD4">
        <w:rPr>
          <w:rFonts w:cs="Cordia New"/>
          <w:cs/>
        </w:rPr>
        <w:t xml:space="preserve">ที่ใช้ข้อมูลจาก </w:t>
      </w:r>
      <w:r w:rsidRPr="00474BD4">
        <w:rPr>
          <w:rFonts w:cs="Cordia New"/>
        </w:rPr>
        <w:t xml:space="preserve">randomized controlled trials (RCTs) </w:t>
      </w:r>
      <w:r w:rsidRPr="00474BD4">
        <w:rPr>
          <w:rFonts w:cs="Cordia New"/>
          <w:cs/>
        </w:rPr>
        <w:t>ซึ่งเป็นหลักฐานเชิงวิทยาศาสตร์ที่มีความน่าเชื่อถือสูง ช่วยลดอคติและสามารถเปรียบเทียบประสิทธิผลของการแทรกแซงทางโภชนาการหลายรูปแบบได้อย่างครอบคลุม แม้ในกรณีที่ไม่มีการศึกษาเปรียบเทียบโดยตรงระหว่างบางวิธี</w:t>
      </w:r>
      <w:r>
        <w:rPr>
          <w:rFonts w:cs="Cordia New" w:hint="cs"/>
          <w:cs/>
        </w:rPr>
        <w:t xml:space="preserve"> </w:t>
      </w:r>
      <w:r w:rsidRPr="00474BD4">
        <w:rPr>
          <w:rFonts w:cs="Cordia New"/>
          <w:cs/>
        </w:rPr>
        <w:t>อย่างไรก็ตาม งานวิจัยยังมีข้อจำกัด ได้แก่ ความแตกต่างของประชากรศึกษาในแต่ละงานวิจัย (เช่น ระยะโรค พฤติกรรมสุขภาพ และพื้นฐานผู้ป่วย) รวมถึงระยะเวลาการติดตามผลที่บางการศึกษาค่อนข้างสั้น ทำให้การประเมินผลระยะยาวยังไม่ชัดเจน ดังนั้น แม้งานวิจัยนี้จะมีความน่าเชื่อถือในภาพรวมสูง แต่การนำผลไปใช้ควรพิจารณาความแตกต่างของบริบทและลักษณะผู้ป่วยร่วมด้วย</w:t>
      </w:r>
    </w:p>
    <w:p w14:paraId="58777A77" w14:textId="77777777" w:rsidR="00474BD4" w:rsidRPr="00474BD4" w:rsidRDefault="00474BD4" w:rsidP="00474BD4">
      <w:pPr>
        <w:spacing w:after="0" w:line="240" w:lineRule="auto"/>
        <w:rPr>
          <w:rFonts w:cs="Cordia New"/>
        </w:rPr>
      </w:pPr>
      <w:r w:rsidRPr="00474BD4">
        <w:rPr>
          <w:rFonts w:cs="Cordia New"/>
          <w:cs/>
        </w:rPr>
        <w:t>วัตถุประสงค์</w:t>
      </w:r>
      <w:r w:rsidRPr="00474BD4">
        <w:rPr>
          <w:rFonts w:cs="Cordia New"/>
          <w:cs/>
        </w:rPr>
        <w:tab/>
      </w:r>
    </w:p>
    <w:p w14:paraId="7AA1F946" w14:textId="77777777" w:rsidR="00474BD4" w:rsidRPr="00474BD4" w:rsidRDefault="00474BD4" w:rsidP="00474BD4">
      <w:pPr>
        <w:spacing w:after="0" w:line="240" w:lineRule="auto"/>
        <w:rPr>
          <w:rFonts w:cs="Cordia New"/>
        </w:rPr>
      </w:pPr>
      <w:r w:rsidRPr="00474BD4">
        <w:rPr>
          <w:rFonts w:cs="Cordia New"/>
        </w:rPr>
        <w:t>1.</w:t>
      </w:r>
      <w:r w:rsidRPr="00474BD4">
        <w:rPr>
          <w:rFonts w:cs="Cordia New"/>
          <w:cs/>
        </w:rPr>
        <w:t xml:space="preserve">เพื่อศึกษาผลงานวิจัยดังกล่าวเพื่อให้รู้ถึงการให้ </w:t>
      </w:r>
      <w:r w:rsidRPr="00474BD4">
        <w:rPr>
          <w:rFonts w:cs="Cordia New"/>
        </w:rPr>
        <w:t xml:space="preserve">nutritional interventions </w:t>
      </w:r>
      <w:r w:rsidRPr="00474BD4">
        <w:rPr>
          <w:rFonts w:cs="Cordia New"/>
          <w:cs/>
        </w:rPr>
        <w:t>แบบใดดีที่สุด</w:t>
      </w:r>
    </w:p>
    <w:p w14:paraId="1EAC8416" w14:textId="32E4EEA9" w:rsidR="00474BD4" w:rsidRDefault="00474BD4" w:rsidP="00474BD4">
      <w:pPr>
        <w:spacing w:after="0" w:line="240" w:lineRule="auto"/>
        <w:rPr>
          <w:rFonts w:cs="Cordia New"/>
        </w:rPr>
      </w:pPr>
      <w:r w:rsidRPr="00474BD4">
        <w:rPr>
          <w:rFonts w:cs="Cordia New"/>
        </w:rPr>
        <w:t>2.</w:t>
      </w:r>
      <w:r w:rsidRPr="00474BD4">
        <w:rPr>
          <w:rFonts w:cs="Cordia New"/>
          <w:cs/>
        </w:rPr>
        <w:t>เพื่อหาข้อดี ข้อจำกัด และ ความน่าเชื่อถือของงานวิจัยดังกล่าวในเชิงวิพากษ์</w:t>
      </w:r>
    </w:p>
    <w:p w14:paraId="2F087B9B" w14:textId="2D917C31" w:rsidR="00474BD4" w:rsidRDefault="00474BD4" w:rsidP="00474BD4">
      <w:pPr>
        <w:spacing w:after="0" w:line="240" w:lineRule="auto"/>
        <w:rPr>
          <w:rFonts w:cs="Cordia New"/>
        </w:rPr>
      </w:pPr>
      <w:r>
        <w:rPr>
          <w:rFonts w:cs="Cordia New" w:hint="cs"/>
          <w:cs/>
        </w:rPr>
        <w:t>รูปแบบการวิจัย</w:t>
      </w:r>
      <w:r>
        <w:rPr>
          <w:rFonts w:cs="Cordia New"/>
        </w:rPr>
        <w:t xml:space="preserve"> </w:t>
      </w:r>
      <w:r w:rsidR="007F5BAC" w:rsidRPr="007F5BAC">
        <w:rPr>
          <w:rFonts w:cs="Cordia New"/>
          <w:cs/>
        </w:rPr>
        <w:t>วิจัยเชิงคุณภาพ</w:t>
      </w:r>
      <w:r w:rsidR="007F5BAC">
        <w:rPr>
          <w:rFonts w:cs="Cordia New"/>
        </w:rPr>
        <w:t xml:space="preserve">  </w:t>
      </w:r>
    </w:p>
    <w:p w14:paraId="207CBCCF" w14:textId="5B2B4F09" w:rsidR="007F5BAC" w:rsidRDefault="007F5BAC" w:rsidP="00474BD4">
      <w:pPr>
        <w:spacing w:after="0" w:line="240" w:lineRule="auto"/>
        <w:rPr>
          <w:rFonts w:cs="Cordia New"/>
          <w:cs/>
        </w:rPr>
      </w:pPr>
      <w:r>
        <w:rPr>
          <w:rFonts w:cs="Cordia New" w:hint="cs"/>
          <w:cs/>
        </w:rPr>
        <w:t>ผลการศึกษา</w:t>
      </w:r>
    </w:p>
    <w:p w14:paraId="59A0C4FF" w14:textId="5B669DC8" w:rsidR="00474BD4" w:rsidRDefault="007F5BAC" w:rsidP="007F5BAC">
      <w:pPr>
        <w:spacing w:after="0" w:line="240" w:lineRule="auto"/>
        <w:rPr>
          <w:rFonts w:cs="Cordia New"/>
          <w:cs/>
        </w:rPr>
      </w:pPr>
      <w:r w:rsidRPr="007F5BAC">
        <w:rPr>
          <w:rFonts w:cs="Cordia New"/>
          <w:cs/>
        </w:rPr>
        <w:t xml:space="preserve">รูปแบบอาหารที่ให้ผลดีที่สุดต่อการลด </w:t>
      </w:r>
      <w:r w:rsidRPr="007F5BAC">
        <w:rPr>
          <w:rFonts w:cs="Cordia New"/>
        </w:rPr>
        <w:t>HbA</w:t>
      </w:r>
      <w:r w:rsidRPr="007F5BAC">
        <w:rPr>
          <w:rFonts w:cs="Cordia New"/>
          <w:cs/>
        </w:rPr>
        <w:t>1</w:t>
      </w:r>
      <w:r w:rsidRPr="007F5BAC">
        <w:rPr>
          <w:rFonts w:cs="Cordia New"/>
        </w:rPr>
        <w:t xml:space="preserve">c </w:t>
      </w:r>
      <w:r w:rsidRPr="007F5BAC">
        <w:rPr>
          <w:rFonts w:cs="Cordia New"/>
          <w:cs/>
        </w:rPr>
        <w:t xml:space="preserve">และระดับน้ำตาลในเลือด ได้แก่ </w:t>
      </w:r>
      <w:r w:rsidRPr="007F5BAC">
        <w:rPr>
          <w:rFonts w:cs="Cordia New"/>
        </w:rPr>
        <w:t xml:space="preserve">Mediterranean diet, low-carbohydrate diet, </w:t>
      </w:r>
      <w:r w:rsidRPr="007F5BAC">
        <w:rPr>
          <w:rFonts w:cs="Cordia New"/>
          <w:cs/>
        </w:rPr>
        <w:t xml:space="preserve">และ </w:t>
      </w:r>
      <w:r w:rsidRPr="007F5BAC">
        <w:rPr>
          <w:rFonts w:cs="Cordia New"/>
        </w:rPr>
        <w:t>low glycemic index diet</w:t>
      </w:r>
      <w:r>
        <w:rPr>
          <w:rFonts w:cs="Cordia New" w:hint="cs"/>
          <w:cs/>
        </w:rPr>
        <w:t xml:space="preserve"> </w:t>
      </w:r>
      <w:r w:rsidRPr="007F5BAC">
        <w:rPr>
          <w:rFonts w:cs="Cordia New"/>
          <w:cs/>
        </w:rPr>
        <w:t>อาหารกลุ่มที่เน้นการเพิ่มใยอาหารและลดพลังงาน (</w:t>
      </w:r>
      <w:r w:rsidRPr="007F5BAC">
        <w:rPr>
          <w:rFonts w:cs="Cordia New"/>
        </w:rPr>
        <w:t xml:space="preserve">calorie restriction / high-fiber diet) </w:t>
      </w:r>
      <w:r w:rsidRPr="007F5BAC">
        <w:rPr>
          <w:rFonts w:cs="Cordia New"/>
          <w:cs/>
        </w:rPr>
        <w:t xml:space="preserve">ก็ช่วยปรับปรุงระดับน้ำตาลและน้ำหนักตัวได้อย่างมีนัยสำคัญบางรูปแบบ เช่น </w:t>
      </w:r>
      <w:r w:rsidRPr="007F5BAC">
        <w:rPr>
          <w:rFonts w:cs="Cordia New"/>
        </w:rPr>
        <w:t xml:space="preserve">high-protein diet </w:t>
      </w:r>
      <w:r w:rsidRPr="007F5BAC">
        <w:rPr>
          <w:rFonts w:cs="Cordia New"/>
          <w:cs/>
        </w:rPr>
        <w:t xml:space="preserve">หรือ </w:t>
      </w:r>
      <w:r w:rsidRPr="007F5BAC">
        <w:rPr>
          <w:rFonts w:cs="Cordia New"/>
        </w:rPr>
        <w:t xml:space="preserve">DASH diet </w:t>
      </w:r>
      <w:r w:rsidRPr="007F5BAC">
        <w:rPr>
          <w:rFonts w:cs="Cordia New"/>
          <w:cs/>
        </w:rPr>
        <w:t>ก็มีประโยชน์ แต่ผลอาจไม่เด่นชัดเท่ากลุ่มที่กล่าวข้างต้น</w:t>
      </w:r>
      <w:r>
        <w:rPr>
          <w:rFonts w:cs="Cordia New"/>
        </w:rPr>
        <w:t xml:space="preserve"> </w:t>
      </w:r>
      <w:r>
        <w:rPr>
          <w:rFonts w:cs="Cordia New" w:hint="cs"/>
          <w:cs/>
        </w:rPr>
        <w:t xml:space="preserve">การวิเคราะเชิงวิพากษ์ </w:t>
      </w:r>
      <w:r w:rsidRPr="007F5BAC">
        <w:rPr>
          <w:rFonts w:cs="Cordia New"/>
          <w:cs/>
        </w:rPr>
        <w:t>งานวิจัย “</w:t>
      </w:r>
      <w:r w:rsidRPr="007F5BAC">
        <w:rPr>
          <w:rFonts w:cs="Cordia New"/>
        </w:rPr>
        <w:t xml:space="preserve">Effects of </w:t>
      </w:r>
      <w:r w:rsidRPr="007F5BAC">
        <w:rPr>
          <w:rFonts w:cs="Cordia New"/>
          <w:cs/>
        </w:rPr>
        <w:t>12</w:t>
      </w:r>
      <w:r w:rsidRPr="007F5BAC">
        <w:rPr>
          <w:rFonts w:cs="Cordia New"/>
        </w:rPr>
        <w:t xml:space="preserve"> nutritional interventions on type </w:t>
      </w:r>
      <w:r w:rsidRPr="007F5BAC">
        <w:rPr>
          <w:rFonts w:cs="Cordia New"/>
          <w:cs/>
        </w:rPr>
        <w:t>2</w:t>
      </w:r>
      <w:r w:rsidRPr="007F5BAC">
        <w:rPr>
          <w:rFonts w:cs="Cordia New"/>
        </w:rPr>
        <w:t xml:space="preserve"> diabetes” </w:t>
      </w:r>
      <w:r w:rsidRPr="007F5BAC">
        <w:rPr>
          <w:rFonts w:cs="Cordia New"/>
          <w:cs/>
        </w:rPr>
        <w:t xml:space="preserve">มีจุดแข็งคือเป็น </w:t>
      </w:r>
      <w:r w:rsidRPr="007F5BAC">
        <w:rPr>
          <w:rFonts w:cs="Cordia New"/>
        </w:rPr>
        <w:t xml:space="preserve">systematic review </w:t>
      </w:r>
      <w:r w:rsidRPr="007F5BAC">
        <w:rPr>
          <w:rFonts w:cs="Cordia New"/>
          <w:cs/>
        </w:rPr>
        <w:t xml:space="preserve">และ </w:t>
      </w:r>
      <w:r w:rsidRPr="007F5BAC">
        <w:rPr>
          <w:rFonts w:cs="Cordia New"/>
        </w:rPr>
        <w:t xml:space="preserve">network meta-analysis </w:t>
      </w:r>
      <w:r w:rsidRPr="007F5BAC">
        <w:rPr>
          <w:rFonts w:cs="Cordia New"/>
          <w:cs/>
        </w:rPr>
        <w:t xml:space="preserve">ที่อ้างอิงจาก </w:t>
      </w:r>
      <w:r w:rsidRPr="007F5BAC">
        <w:rPr>
          <w:rFonts w:cs="Cordia New"/>
        </w:rPr>
        <w:t xml:space="preserve">randomized controlled trials (RCTs) </w:t>
      </w:r>
      <w:r w:rsidRPr="007F5BAC">
        <w:rPr>
          <w:rFonts w:cs="Cordia New"/>
          <w:cs/>
        </w:rPr>
        <w:t>ทำให้มีความน่าเชื่อถือสูง และสามารถเปรียบเทียบประสิทธิผลของการแทรกแซงทางโภชนาการได้หลายรูปแบบแม้ไม่มีการศึกษาเปรียบเทียบโดยตรง ซึ่งช่วยให้เห็นภาพรวมของแนวทางโภชนาการที่มีผลต่อการควบคุมเบาหวานชนิดที่ 2 ได้ชัดเจน</w:t>
      </w:r>
      <w:r>
        <w:rPr>
          <w:rFonts w:cs="Cordia New" w:hint="cs"/>
          <w:cs/>
        </w:rPr>
        <w:t xml:space="preserve"> </w:t>
      </w:r>
      <w:r w:rsidRPr="007F5BAC">
        <w:rPr>
          <w:rFonts w:cs="Cordia New"/>
          <w:cs/>
        </w:rPr>
        <w:t>อย่างไรก็ตาม งานวิจัยยังมีข้อจำกัด ได้แก่ ความแตกต่างของประชากรศึกษาในแต่ละงาน (เช่น ระยะโรค อายุ และพฤติกรรมสุขภาพ) รวมถึงความหลากหลายของรูปแบบการแทรกแซงและวิธีวัดผลที่อาจทำให้เกิดความไม่สอดคล้องของข้อมูล นอกจากนี้ ระยะเวลาการติดตามผลในบางการศึกษาค่อนข้างสั้น จึงยังไม่สามารถสรุปผลระยะยาวได้อย่างแน่ชัด</w:t>
      </w:r>
      <w:r w:rsidR="00201C18">
        <w:rPr>
          <w:rFonts w:cs="Cordia New" w:hint="cs"/>
          <w:cs/>
        </w:rPr>
        <w:t xml:space="preserve"> </w:t>
      </w:r>
      <w:r w:rsidRPr="007F5BAC">
        <w:rPr>
          <w:rFonts w:cs="Cordia New"/>
          <w:cs/>
        </w:rPr>
        <w:t>ดังนั้น แม้งานวิจัยนี้จะมีความน่าเชื่อถือสูงและให้ข้อมูลที่เป็นประโยชน์ต่อการเลือกแนวทางโภชนาการ แต่ควรนำผลไปใช้โดยพิจารณาความเหมาะสมของผู้ป่วยและบริบททางคลินิกประกอบด้วย</w:t>
      </w:r>
    </w:p>
    <w:p w14:paraId="4F70E836" w14:textId="77777777" w:rsidR="00474BD4" w:rsidRDefault="00474BD4" w:rsidP="00474BD4">
      <w:pPr>
        <w:spacing w:after="0" w:line="240" w:lineRule="auto"/>
        <w:rPr>
          <w:rFonts w:cs="Cordia New"/>
        </w:rPr>
      </w:pPr>
    </w:p>
    <w:p w14:paraId="0B1106FC" w14:textId="77777777" w:rsidR="007F5BAC" w:rsidRDefault="007F5BAC" w:rsidP="00474BD4">
      <w:pPr>
        <w:spacing w:after="0" w:line="240" w:lineRule="auto"/>
        <w:rPr>
          <w:rFonts w:cs="Cordia New"/>
        </w:rPr>
      </w:pPr>
    </w:p>
    <w:p w14:paraId="71842450" w14:textId="77777777" w:rsidR="007F5BAC" w:rsidRDefault="007F5BAC" w:rsidP="00474BD4">
      <w:pPr>
        <w:spacing w:after="0" w:line="240" w:lineRule="auto"/>
        <w:rPr>
          <w:rFonts w:cs="Cordia New"/>
        </w:rPr>
      </w:pPr>
    </w:p>
    <w:p w14:paraId="68621241" w14:textId="761B0C80" w:rsidR="007F5BAC" w:rsidRDefault="007F5BAC" w:rsidP="00474BD4">
      <w:pPr>
        <w:spacing w:after="0" w:line="240" w:lineRule="auto"/>
        <w:rPr>
          <w:rFonts w:cs="Cordia New"/>
        </w:rPr>
      </w:pPr>
      <w:r>
        <w:rPr>
          <w:rFonts w:cs="Cordia New" w:hint="cs"/>
          <w:cs/>
        </w:rPr>
        <w:lastRenderedPageBreak/>
        <w:t>เอกสารอ้างอิง</w:t>
      </w:r>
    </w:p>
    <w:p w14:paraId="147FA1DC" w14:textId="77777777" w:rsidR="00F504AE" w:rsidRDefault="007F5BAC" w:rsidP="00F504AE">
      <w:pPr>
        <w:spacing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  <w:r w:rsidRPr="00F504A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Global Burden of Disease Collaborative Network. Global Burden of Disease Study 2021. Results. </w:t>
      </w:r>
      <w:bookmarkStart w:id="0" w:name="_Hlk229484298"/>
      <w:r w:rsidRPr="00F504AE">
        <w:rPr>
          <w:rFonts w:ascii="TH SarabunPSK" w:hAnsi="TH SarabunPSK" w:cs="TH SarabunPSK"/>
          <w:sz w:val="32"/>
          <w:szCs w:val="32"/>
          <w:shd w:val="clear" w:color="auto" w:fill="FFFFFF"/>
        </w:rPr>
        <w:t>Institute for Health Metrics and Evaluation</w:t>
      </w:r>
      <w:bookmarkEnd w:id="0"/>
      <w:r w:rsidRPr="00F504A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. 2024 </w:t>
      </w:r>
      <w:r w:rsidRPr="00F504AE">
        <w:rPr>
          <w:rFonts w:ascii="TH SarabunPSK" w:hAnsi="TH SarabunPSK" w:cs="TH SarabunPSK"/>
          <w:color w:val="3C4245"/>
          <w:sz w:val="32"/>
          <w:szCs w:val="32"/>
          <w:shd w:val="clear" w:color="auto" w:fill="FFFFFF"/>
        </w:rPr>
        <w:t>(</w:t>
      </w:r>
      <w:hyperlink r:id="rId7" w:history="1">
        <w:r w:rsidRPr="00F504AE">
          <w:rPr>
            <w:rFonts w:ascii="TH SarabunPSK" w:hAnsi="TH SarabunPSK" w:cs="TH SarabunPSK"/>
            <w:color w:val="0000FF"/>
            <w:sz w:val="32"/>
            <w:szCs w:val="32"/>
            <w:u w:val="single"/>
            <w:shd w:val="clear" w:color="auto" w:fill="FFFFFF"/>
          </w:rPr>
          <w:t>https://vizhub.healthdata.org/gbd-results/</w:t>
        </w:r>
      </w:hyperlink>
      <w:r w:rsidRPr="00F504AE">
        <w:rPr>
          <w:rFonts w:ascii="TH SarabunPSK" w:hAnsi="TH SarabunPSK" w:cs="TH SarabunPSK"/>
          <w:color w:val="3C4245"/>
          <w:sz w:val="32"/>
          <w:szCs w:val="32"/>
          <w:shd w:val="clear" w:color="auto" w:fill="FFFFFF"/>
        </w:rPr>
        <w:t>).</w:t>
      </w:r>
    </w:p>
    <w:p w14:paraId="1101D331" w14:textId="0525C192" w:rsidR="007F5BAC" w:rsidRPr="00F504AE" w:rsidRDefault="007F5BAC" w:rsidP="00F504AE">
      <w:pPr>
        <w:spacing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  <w:r w:rsidRPr="007F5BAC">
        <w:rPr>
          <w:rFonts w:ascii="TH SarabunPSK" w:eastAsia="Times New Roman" w:hAnsi="TH SarabunPSK" w:cs="TH SarabunPSK"/>
          <w:color w:val="1B1B1B"/>
          <w:kern w:val="36"/>
          <w:sz w:val="32"/>
          <w:szCs w:val="32"/>
        </w:rPr>
        <w:t>Effects of 12 nutritional interventions on type 2 diabetes: a systematic review with network meta-analysis of randomized trials</w:t>
      </w:r>
      <w:r w:rsidR="00F504AE" w:rsidRPr="00F504AE">
        <w:t xml:space="preserve"> </w:t>
      </w:r>
      <w:r w:rsidR="00F504AE" w:rsidRPr="00F504AE">
        <w:rPr>
          <w:rFonts w:ascii="TH SarabunPSK" w:eastAsia="Times New Roman" w:hAnsi="TH SarabunPSK" w:cs="TH SarabunPSK"/>
          <w:color w:val="1B1B1B"/>
          <w:kern w:val="36"/>
          <w:sz w:val="32"/>
          <w:szCs w:val="32"/>
        </w:rPr>
        <w:t>2025</w:t>
      </w:r>
      <w:r w:rsidR="00F504AE">
        <w:rPr>
          <w:rFonts w:ascii="TH SarabunPSK" w:eastAsia="Times New Roman" w:hAnsi="TH SarabunPSK" w:cs="TH SarabunPSK"/>
          <w:color w:val="1B1B1B"/>
          <w:kern w:val="36"/>
          <w:sz w:val="32"/>
          <w:szCs w:val="32"/>
        </w:rPr>
        <w:t>.</w:t>
      </w:r>
      <w:r w:rsidR="00F504AE" w:rsidRPr="00F504AE">
        <w:t xml:space="preserve"> </w:t>
      </w:r>
      <w:r w:rsidR="00F504AE">
        <w:rPr>
          <w:rFonts w:hint="cs"/>
          <w:cs/>
        </w:rPr>
        <w:t>(</w:t>
      </w:r>
      <w:hyperlink r:id="rId8" w:history="1">
        <w:r w:rsidR="00F504AE" w:rsidRPr="00ED7D7E">
          <w:rPr>
            <w:rStyle w:val="ae"/>
            <w:rFonts w:ascii="TH SarabunPSK" w:eastAsia="Times New Roman" w:hAnsi="TH SarabunPSK" w:cs="TH SarabunPSK"/>
            <w:kern w:val="36"/>
            <w:sz w:val="32"/>
            <w:szCs w:val="32"/>
          </w:rPr>
          <w:t>https://pmc.ncbi.nlm.nih.gov/articles/PMC12329975/</w:t>
        </w:r>
      </w:hyperlink>
      <w:r w:rsidR="00F504AE">
        <w:rPr>
          <w:rFonts w:ascii="TH SarabunPSK" w:eastAsia="Times New Roman" w:hAnsi="TH SarabunPSK" w:cs="TH SarabunPSK" w:hint="cs"/>
          <w:color w:val="1B1B1B"/>
          <w:kern w:val="36"/>
          <w:sz w:val="32"/>
          <w:szCs w:val="32"/>
          <w:cs/>
        </w:rPr>
        <w:t>)</w:t>
      </w:r>
    </w:p>
    <w:p w14:paraId="67C27459" w14:textId="77777777" w:rsidR="00C64907" w:rsidRDefault="00C64907" w:rsidP="007F5BAC">
      <w:pPr>
        <w:shd w:val="clear" w:color="auto" w:fill="FFFFFF"/>
        <w:spacing w:after="0" w:line="450" w:lineRule="atLeast"/>
        <w:outlineLvl w:val="0"/>
        <w:rPr>
          <w:rFonts w:ascii="TH SarabunPSK" w:eastAsia="Times New Roman" w:hAnsi="TH SarabunPSK" w:cs="TH SarabunPSK"/>
          <w:color w:val="1B1B1B"/>
          <w:kern w:val="36"/>
          <w:sz w:val="32"/>
          <w:szCs w:val="32"/>
        </w:rPr>
      </w:pPr>
      <w:r w:rsidRPr="00C64907">
        <w:rPr>
          <w:rFonts w:ascii="TH SarabunPSK" w:eastAsia="Times New Roman" w:hAnsi="TH SarabunPSK" w:cs="TH SarabunPSK"/>
          <w:color w:val="1B1B1B"/>
          <w:kern w:val="36"/>
          <w:sz w:val="32"/>
          <w:szCs w:val="32"/>
        </w:rPr>
        <w:t xml:space="preserve">Yan LD, </w:t>
      </w:r>
      <w:proofErr w:type="spellStart"/>
      <w:r w:rsidRPr="00C64907">
        <w:rPr>
          <w:rFonts w:ascii="TH SarabunPSK" w:eastAsia="Times New Roman" w:hAnsi="TH SarabunPSK" w:cs="TH SarabunPSK"/>
          <w:color w:val="1B1B1B"/>
          <w:kern w:val="36"/>
          <w:sz w:val="32"/>
          <w:szCs w:val="32"/>
        </w:rPr>
        <w:t>Hanvoravongchai</w:t>
      </w:r>
      <w:proofErr w:type="spellEnd"/>
      <w:r w:rsidRPr="00C64907">
        <w:rPr>
          <w:rFonts w:ascii="TH SarabunPSK" w:eastAsia="Times New Roman" w:hAnsi="TH SarabunPSK" w:cs="TH SarabunPSK"/>
          <w:color w:val="1B1B1B"/>
          <w:kern w:val="36"/>
          <w:sz w:val="32"/>
          <w:szCs w:val="32"/>
        </w:rPr>
        <w:t xml:space="preserve"> P, </w:t>
      </w:r>
      <w:proofErr w:type="spellStart"/>
      <w:r w:rsidRPr="00C64907">
        <w:rPr>
          <w:rFonts w:ascii="TH SarabunPSK" w:eastAsia="Times New Roman" w:hAnsi="TH SarabunPSK" w:cs="TH SarabunPSK"/>
          <w:color w:val="1B1B1B"/>
          <w:kern w:val="36"/>
          <w:sz w:val="32"/>
          <w:szCs w:val="32"/>
        </w:rPr>
        <w:t>Aekplakorn</w:t>
      </w:r>
      <w:proofErr w:type="spellEnd"/>
      <w:r w:rsidRPr="00C64907">
        <w:rPr>
          <w:rFonts w:ascii="TH SarabunPSK" w:eastAsia="Times New Roman" w:hAnsi="TH SarabunPSK" w:cs="TH SarabunPSK"/>
          <w:color w:val="1B1B1B"/>
          <w:kern w:val="36"/>
          <w:sz w:val="32"/>
          <w:szCs w:val="32"/>
        </w:rPr>
        <w:t xml:space="preserve"> W, et al. </w:t>
      </w:r>
      <w:proofErr w:type="spellStart"/>
      <w:r w:rsidRPr="00C64907">
        <w:rPr>
          <w:rFonts w:ascii="TH SarabunPSK" w:eastAsia="Times New Roman" w:hAnsi="TH SarabunPSK" w:cs="TH SarabunPSK"/>
          <w:color w:val="1B1B1B"/>
          <w:kern w:val="36"/>
          <w:sz w:val="32"/>
          <w:szCs w:val="32"/>
        </w:rPr>
        <w:t>PLoS</w:t>
      </w:r>
      <w:proofErr w:type="spellEnd"/>
      <w:r w:rsidRPr="00C64907">
        <w:rPr>
          <w:rFonts w:ascii="TH SarabunPSK" w:eastAsia="Times New Roman" w:hAnsi="TH SarabunPSK" w:cs="TH SarabunPSK"/>
          <w:color w:val="1B1B1B"/>
          <w:kern w:val="36"/>
          <w:sz w:val="32"/>
          <w:szCs w:val="32"/>
        </w:rPr>
        <w:t xml:space="preserve"> One </w:t>
      </w:r>
      <w:r w:rsidRPr="00C64907">
        <w:rPr>
          <w:rFonts w:ascii="TH SarabunPSK" w:eastAsia="Times New Roman" w:hAnsi="TH SarabunPSK" w:cs="TH SarabunPSK"/>
          <w:color w:val="1B1B1B"/>
          <w:kern w:val="36"/>
          <w:sz w:val="32"/>
          <w:szCs w:val="32"/>
          <w:cs/>
        </w:rPr>
        <w:t>2020</w:t>
      </w:r>
      <w:r w:rsidRPr="00C64907">
        <w:rPr>
          <w:rFonts w:ascii="TH SarabunPSK" w:eastAsia="Times New Roman" w:hAnsi="TH SarabunPSK" w:cs="TH SarabunPSK"/>
          <w:color w:val="1B1B1B"/>
          <w:kern w:val="36"/>
          <w:sz w:val="32"/>
          <w:szCs w:val="32"/>
        </w:rPr>
        <w:t>;</w:t>
      </w:r>
      <w:r w:rsidRPr="00C64907">
        <w:rPr>
          <w:rFonts w:ascii="TH SarabunPSK" w:eastAsia="Times New Roman" w:hAnsi="TH SarabunPSK" w:cs="TH SarabunPSK"/>
          <w:color w:val="1B1B1B"/>
          <w:kern w:val="36"/>
          <w:sz w:val="32"/>
          <w:szCs w:val="32"/>
          <w:cs/>
        </w:rPr>
        <w:t>15:</w:t>
      </w:r>
      <w:r w:rsidRPr="00C64907">
        <w:rPr>
          <w:rFonts w:ascii="TH SarabunPSK" w:eastAsia="Times New Roman" w:hAnsi="TH SarabunPSK" w:cs="TH SarabunPSK"/>
          <w:color w:val="1B1B1B"/>
          <w:kern w:val="36"/>
          <w:sz w:val="32"/>
          <w:szCs w:val="32"/>
        </w:rPr>
        <w:t>e</w:t>
      </w:r>
      <w:r w:rsidRPr="00C64907">
        <w:rPr>
          <w:rFonts w:ascii="TH SarabunPSK" w:eastAsia="Times New Roman" w:hAnsi="TH SarabunPSK" w:cs="TH SarabunPSK"/>
          <w:color w:val="1B1B1B"/>
          <w:kern w:val="36"/>
          <w:sz w:val="32"/>
          <w:szCs w:val="32"/>
          <w:cs/>
        </w:rPr>
        <w:t xml:space="preserve">0226286. </w:t>
      </w:r>
    </w:p>
    <w:p w14:paraId="23E54B76" w14:textId="393F4E3A" w:rsidR="00C64907" w:rsidRDefault="00C64907" w:rsidP="007F5BAC">
      <w:pPr>
        <w:shd w:val="clear" w:color="auto" w:fill="FFFFFF"/>
        <w:spacing w:after="0" w:line="450" w:lineRule="atLeast"/>
        <w:outlineLvl w:val="0"/>
        <w:rPr>
          <w:rFonts w:ascii="TH SarabunPSK" w:eastAsia="Times New Roman" w:hAnsi="TH SarabunPSK" w:cs="TH SarabunPSK"/>
          <w:color w:val="1B1B1B"/>
          <w:kern w:val="36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1B1B1B"/>
          <w:kern w:val="36"/>
          <w:sz w:val="32"/>
          <w:szCs w:val="32"/>
          <w:cs/>
        </w:rPr>
        <w:t>(</w:t>
      </w:r>
      <w:hyperlink r:id="rId9" w:history="1">
        <w:r w:rsidRPr="00ED7D7E">
          <w:rPr>
            <w:rStyle w:val="ae"/>
            <w:rFonts w:ascii="TH SarabunPSK" w:eastAsia="Times New Roman" w:hAnsi="TH SarabunPSK" w:cs="TH SarabunPSK"/>
            <w:kern w:val="36"/>
            <w:sz w:val="32"/>
            <w:szCs w:val="32"/>
          </w:rPr>
          <w:t>https://journals.plos.org/plosone/article?id=10.1371/journal.pone.0226286</w:t>
        </w:r>
      </w:hyperlink>
      <w:r>
        <w:rPr>
          <w:rFonts w:ascii="TH SarabunPSK" w:eastAsia="Times New Roman" w:hAnsi="TH SarabunPSK" w:cs="TH SarabunPSK" w:hint="cs"/>
          <w:color w:val="1B1B1B"/>
          <w:kern w:val="36"/>
          <w:sz w:val="32"/>
          <w:szCs w:val="32"/>
          <w:cs/>
        </w:rPr>
        <w:t>)</w:t>
      </w:r>
    </w:p>
    <w:p w14:paraId="5799321C" w14:textId="77777777" w:rsidR="00C64907" w:rsidRPr="007F5BAC" w:rsidRDefault="00C64907" w:rsidP="007F5BAC">
      <w:pPr>
        <w:shd w:val="clear" w:color="auto" w:fill="FFFFFF"/>
        <w:spacing w:after="0" w:line="450" w:lineRule="atLeast"/>
        <w:outlineLvl w:val="0"/>
        <w:rPr>
          <w:rFonts w:ascii="TH SarabunPSK" w:eastAsia="Times New Roman" w:hAnsi="TH SarabunPSK" w:cs="TH SarabunPSK"/>
          <w:color w:val="1B1B1B"/>
          <w:kern w:val="36"/>
          <w:sz w:val="32"/>
          <w:szCs w:val="32"/>
        </w:rPr>
      </w:pPr>
    </w:p>
    <w:p w14:paraId="7C54CBED" w14:textId="77777777" w:rsidR="007F5BAC" w:rsidRPr="000113B8" w:rsidRDefault="007F5BAC" w:rsidP="007F5BAC">
      <w:pPr>
        <w:spacing w:after="0" w:line="240" w:lineRule="auto"/>
        <w:ind w:left="851" w:hanging="851"/>
        <w:rPr>
          <w:rFonts w:ascii="TH Sarabun New" w:hAnsi="TH Sarabun New" w:cs="TH Sarabun New"/>
          <w:sz w:val="32"/>
          <w:szCs w:val="32"/>
        </w:rPr>
      </w:pPr>
    </w:p>
    <w:p w14:paraId="4C2DE2E6" w14:textId="77777777" w:rsidR="007F5BAC" w:rsidRPr="000113B8" w:rsidRDefault="007F5BAC" w:rsidP="007F5BAC">
      <w:pPr>
        <w:spacing w:after="0" w:line="240" w:lineRule="auto"/>
        <w:ind w:left="851" w:hanging="851"/>
        <w:rPr>
          <w:rFonts w:ascii="TH Sarabun New" w:hAnsi="TH Sarabun New" w:cs="TH Sarabun New"/>
          <w:sz w:val="32"/>
          <w:szCs w:val="32"/>
        </w:rPr>
      </w:pPr>
    </w:p>
    <w:p w14:paraId="63F2EB11" w14:textId="77777777" w:rsidR="007F5BAC" w:rsidRPr="00474BD4" w:rsidRDefault="007F5BAC" w:rsidP="00474BD4">
      <w:pPr>
        <w:spacing w:after="0" w:line="240" w:lineRule="auto"/>
        <w:rPr>
          <w:rFonts w:cs="Cordia New"/>
          <w:cs/>
        </w:rPr>
      </w:pPr>
    </w:p>
    <w:sectPr w:rsidR="007F5BAC" w:rsidRPr="00474B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62632" w14:textId="77777777" w:rsidR="0024342A" w:rsidRDefault="0024342A" w:rsidP="00873962">
      <w:pPr>
        <w:spacing w:after="0" w:line="240" w:lineRule="auto"/>
      </w:pPr>
      <w:r>
        <w:separator/>
      </w:r>
    </w:p>
  </w:endnote>
  <w:endnote w:type="continuationSeparator" w:id="0">
    <w:p w14:paraId="69C6CE6C" w14:textId="77777777" w:rsidR="0024342A" w:rsidRDefault="0024342A" w:rsidP="0087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FA41" w14:textId="77777777" w:rsidR="00873962" w:rsidRDefault="00873962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0C07" w14:textId="77777777" w:rsidR="00873962" w:rsidRDefault="00873962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4672" w14:textId="77777777" w:rsidR="00873962" w:rsidRDefault="0087396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EA55" w14:textId="77777777" w:rsidR="0024342A" w:rsidRDefault="0024342A" w:rsidP="00873962">
      <w:pPr>
        <w:spacing w:after="0" w:line="240" w:lineRule="auto"/>
      </w:pPr>
      <w:r>
        <w:separator/>
      </w:r>
    </w:p>
  </w:footnote>
  <w:footnote w:type="continuationSeparator" w:id="0">
    <w:p w14:paraId="572B52F2" w14:textId="77777777" w:rsidR="0024342A" w:rsidRDefault="0024342A" w:rsidP="00873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E639" w14:textId="77777777" w:rsidR="00873962" w:rsidRDefault="00873962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F28B" w14:textId="77777777" w:rsidR="00873962" w:rsidRDefault="00873962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A92" w14:textId="77777777" w:rsidR="00873962" w:rsidRDefault="0087396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2F0"/>
    <w:multiLevelType w:val="multilevel"/>
    <w:tmpl w:val="B6E02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3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D4"/>
    <w:rsid w:val="00201C18"/>
    <w:rsid w:val="0024342A"/>
    <w:rsid w:val="00474BD4"/>
    <w:rsid w:val="005D5A47"/>
    <w:rsid w:val="0065079A"/>
    <w:rsid w:val="007B1818"/>
    <w:rsid w:val="007F5BAC"/>
    <w:rsid w:val="00873962"/>
    <w:rsid w:val="00C64907"/>
    <w:rsid w:val="00CC054C"/>
    <w:rsid w:val="00CF53CD"/>
    <w:rsid w:val="00F504AE"/>
    <w:rsid w:val="00F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D3BC"/>
  <w15:chartTrackingRefBased/>
  <w15:docId w15:val="{9FE3B706-D358-4371-9C6C-47AE2773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BD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4BD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BD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BD4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BD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74BD4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74BD4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74BD4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74BD4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74BD4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74B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74BD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74B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74B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4BD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74BD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74B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74BD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74B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74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B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BD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B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74BD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474BD4"/>
    <w:rPr>
      <w:b/>
      <w:bCs/>
      <w:smallCaps/>
      <w:color w:val="365F9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504AE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504AE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873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873962"/>
    <w:rPr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873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87396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c.ncbi.nlm.nih.gov/articles/PMC12329975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vizhub.healthdata.org/gbd-result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urnals.plos.org/plosone/article?id=10.1371/journal.pone.022628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NutriMain</dc:creator>
  <cp:keywords/>
  <dc:description/>
  <cp:lastModifiedBy>NutriMain</cp:lastModifiedBy>
  <cp:revision>15</cp:revision>
  <dcterms:created xsi:type="dcterms:W3CDTF">2026-05-12T08:27:00Z</dcterms:created>
  <dcterms:modified xsi:type="dcterms:W3CDTF">2026-05-12T09:21:00Z</dcterms:modified>
</cp:coreProperties>
</file>