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93D7E" w14:textId="2229F866" w:rsidR="004A5036" w:rsidRPr="00CB7E9F" w:rsidRDefault="00CB7E9F" w:rsidP="00CB7E9F">
      <w:pPr>
        <w:jc w:val="center"/>
        <w:rPr>
          <w:rFonts w:ascii="TH SarabunPSK" w:hAnsi="TH SarabunPSK" w:cs="TH SarabunPSK"/>
          <w:sz w:val="28"/>
        </w:rPr>
      </w:pPr>
      <w:r w:rsidRPr="00CB7E9F">
        <w:rPr>
          <w:rFonts w:ascii="TH SarabunPSK" w:hAnsi="TH SarabunPSK" w:cs="TH SarabunPSK"/>
          <w:sz w:val="28"/>
          <w:cs/>
        </w:rPr>
        <w:t>บทคัดย่อ</w:t>
      </w:r>
    </w:p>
    <w:p w14:paraId="3F2B2218" w14:textId="567B75C7" w:rsidR="00CB7E9F" w:rsidRDefault="00CB7E9F" w:rsidP="00672487">
      <w:pPr>
        <w:jc w:val="center"/>
        <w:rPr>
          <w:rFonts w:ascii="TH SarabunPSK" w:hAnsi="TH SarabunPSK" w:cs="TH SarabunPSK"/>
          <w:sz w:val="36"/>
          <w:szCs w:val="36"/>
        </w:rPr>
      </w:pPr>
      <w:r w:rsidRPr="00672487">
        <w:rPr>
          <w:rFonts w:ascii="TH SarabunPSK" w:hAnsi="TH SarabunPSK" w:cs="TH SarabunPSK"/>
          <w:sz w:val="36"/>
          <w:szCs w:val="36"/>
          <w:cs/>
        </w:rPr>
        <w:t>เรื่อง ผลของโปรแกรมกระตุ้นการดูดกลืนของทารกแรกเกิด ต่อภาวะโภชนาการของทารก ในหอผู้ป่วยเด็ก หลังคลอดและ</w:t>
      </w:r>
      <w:r w:rsidRPr="00672487">
        <w:rPr>
          <w:rFonts w:ascii="TH SarabunPSK" w:hAnsi="TH SarabunPSK" w:cs="TH SarabunPSK"/>
          <w:sz w:val="36"/>
          <w:szCs w:val="36"/>
        </w:rPr>
        <w:t xml:space="preserve">sick newborn </w:t>
      </w:r>
      <w:r w:rsidRPr="00672487">
        <w:rPr>
          <w:rFonts w:ascii="TH SarabunPSK" w:hAnsi="TH SarabunPSK" w:cs="TH SarabunPSK"/>
          <w:sz w:val="36"/>
          <w:szCs w:val="36"/>
          <w:cs/>
        </w:rPr>
        <w:t>โรงพยาบาลอุทุมพรพิสัย</w:t>
      </w:r>
    </w:p>
    <w:p w14:paraId="59623C6B" w14:textId="33B6F591" w:rsidR="00672487" w:rsidRPr="00672487" w:rsidRDefault="00672487" w:rsidP="00672487">
      <w:pPr>
        <w:jc w:val="center"/>
        <w:rPr>
          <w:rFonts w:ascii="TH SarabunPSK" w:hAnsi="TH SarabunPSK" w:cs="TH SarabunPSK"/>
          <w:sz w:val="36"/>
          <w:szCs w:val="36"/>
        </w:rPr>
      </w:pPr>
      <w:r w:rsidRPr="00672487">
        <w:rPr>
          <w:rFonts w:ascii="TH SarabunPSK" w:hAnsi="TH SarabunPSK" w:cs="TH SarabunPSK"/>
          <w:sz w:val="36"/>
          <w:szCs w:val="36"/>
        </w:rPr>
        <w:t xml:space="preserve">“The Effects of a Sucking Stimulation Program for Newborns on Nutritional Status in the Pediatric Ward after Delivery, </w:t>
      </w:r>
      <w:proofErr w:type="spellStart"/>
      <w:r w:rsidRPr="00672487">
        <w:rPr>
          <w:rFonts w:ascii="TH SarabunPSK" w:hAnsi="TH SarabunPSK" w:cs="TH SarabunPSK"/>
          <w:sz w:val="36"/>
          <w:szCs w:val="36"/>
        </w:rPr>
        <w:t>Uthumphon</w:t>
      </w:r>
      <w:proofErr w:type="spellEnd"/>
      <w:r w:rsidRPr="00672487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Pr="00672487">
        <w:rPr>
          <w:rFonts w:ascii="TH SarabunPSK" w:hAnsi="TH SarabunPSK" w:cs="TH SarabunPSK"/>
          <w:sz w:val="36"/>
          <w:szCs w:val="36"/>
        </w:rPr>
        <w:t>Phisai</w:t>
      </w:r>
      <w:proofErr w:type="spellEnd"/>
      <w:r w:rsidRPr="00672487">
        <w:rPr>
          <w:rFonts w:ascii="TH SarabunPSK" w:hAnsi="TH SarabunPSK" w:cs="TH SarabunPSK"/>
          <w:sz w:val="36"/>
          <w:szCs w:val="36"/>
        </w:rPr>
        <w:t xml:space="preserve"> Hospital, </w:t>
      </w:r>
      <w:proofErr w:type="spellStart"/>
      <w:r w:rsidRPr="00672487">
        <w:rPr>
          <w:rFonts w:ascii="TH SarabunPSK" w:hAnsi="TH SarabunPSK" w:cs="TH SarabunPSK"/>
          <w:sz w:val="36"/>
          <w:szCs w:val="36"/>
        </w:rPr>
        <w:t>Sisaket</w:t>
      </w:r>
      <w:proofErr w:type="spellEnd"/>
      <w:r w:rsidRPr="00672487">
        <w:rPr>
          <w:rFonts w:ascii="TH SarabunPSK" w:hAnsi="TH SarabunPSK" w:cs="TH SarabunPSK"/>
          <w:sz w:val="36"/>
          <w:szCs w:val="36"/>
        </w:rPr>
        <w:t xml:space="preserve"> Province”</w:t>
      </w:r>
    </w:p>
    <w:p w14:paraId="345D94C6" w14:textId="31A6B3F3" w:rsidR="0008630D" w:rsidRDefault="0008630D" w:rsidP="0008630D">
      <w:pPr>
        <w:jc w:val="center"/>
        <w:rPr>
          <w:rFonts w:ascii="TH SarabunPSK" w:hAnsi="TH SarabunPSK" w:cs="TH SarabunPSK"/>
          <w:sz w:val="24"/>
          <w:szCs w:val="24"/>
        </w:rPr>
      </w:pPr>
      <w:r w:rsidRPr="0008630D"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</w:t>
      </w:r>
      <w:r w:rsidRPr="0008630D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CB7E9F" w:rsidRPr="0008630D">
        <w:rPr>
          <w:rFonts w:ascii="TH SarabunPSK" w:hAnsi="TH SarabunPSK" w:cs="TH SarabunPSK"/>
          <w:sz w:val="24"/>
          <w:szCs w:val="24"/>
          <w:cs/>
        </w:rPr>
        <w:t>ผู้นำเสนอ: รัช</w:t>
      </w:r>
      <w:proofErr w:type="spellStart"/>
      <w:r w:rsidR="00CB7E9F" w:rsidRPr="0008630D">
        <w:rPr>
          <w:rFonts w:ascii="TH SarabunPSK" w:hAnsi="TH SarabunPSK" w:cs="TH SarabunPSK"/>
          <w:sz w:val="24"/>
          <w:szCs w:val="24"/>
          <w:cs/>
        </w:rPr>
        <w:t>ฎา</w:t>
      </w:r>
      <w:proofErr w:type="spellEnd"/>
      <w:r w:rsidR="00CB7E9F" w:rsidRPr="0008630D">
        <w:rPr>
          <w:rFonts w:ascii="TH SarabunPSK" w:hAnsi="TH SarabunPSK" w:cs="TH SarabunPSK"/>
          <w:sz w:val="24"/>
          <w:szCs w:val="24"/>
          <w:cs/>
        </w:rPr>
        <w:t>ภรณ์ สิทธิรักษ์</w:t>
      </w:r>
    </w:p>
    <w:p w14:paraId="1FE84E1F" w14:textId="37A5B756" w:rsidR="00CB7E9F" w:rsidRPr="0008630D" w:rsidRDefault="0008630D" w:rsidP="0008630D">
      <w:pPr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 xml:space="preserve">                                                                           </w:t>
      </w:r>
      <w:r w:rsidR="00672487" w:rsidRPr="0008630D">
        <w:rPr>
          <w:rFonts w:ascii="TH SarabunPSK" w:hAnsi="TH SarabunPSK" w:cs="TH SarabunPSK" w:hint="cs"/>
          <w:sz w:val="24"/>
          <w:szCs w:val="24"/>
          <w:cs/>
        </w:rPr>
        <w:t>ชื่อหน่วยงาน</w:t>
      </w:r>
      <w:r w:rsidR="00672487" w:rsidRPr="0008630D">
        <w:rPr>
          <w:rFonts w:ascii="TH SarabunPSK" w:hAnsi="TH SarabunPSK" w:cs="TH SarabunPSK"/>
          <w:sz w:val="24"/>
          <w:szCs w:val="24"/>
        </w:rPr>
        <w:t xml:space="preserve">: </w:t>
      </w:r>
      <w:r w:rsidR="00672487" w:rsidRPr="0008630D">
        <w:rPr>
          <w:rFonts w:ascii="TH SarabunPSK" w:hAnsi="TH SarabunPSK" w:cs="TH SarabunPSK"/>
          <w:sz w:val="24"/>
          <w:szCs w:val="24"/>
          <w:cs/>
        </w:rPr>
        <w:t>หอผู้ป่วยเด็ก</w:t>
      </w:r>
      <w:r w:rsidR="00CB7E9F" w:rsidRPr="0008630D">
        <w:rPr>
          <w:rFonts w:ascii="TH SarabunPSK" w:hAnsi="TH SarabunPSK" w:cs="TH SarabunPSK"/>
          <w:sz w:val="24"/>
          <w:szCs w:val="24"/>
          <w:cs/>
        </w:rPr>
        <w:t>หลังคลอดและ</w:t>
      </w:r>
      <w:r w:rsidR="00CB7E9F" w:rsidRPr="0008630D">
        <w:rPr>
          <w:rFonts w:ascii="TH SarabunPSK" w:hAnsi="TH SarabunPSK" w:cs="TH SarabunPSK"/>
          <w:sz w:val="24"/>
          <w:szCs w:val="24"/>
        </w:rPr>
        <w:t xml:space="preserve">sick newborn </w:t>
      </w:r>
      <w:r w:rsidR="00CB7E9F" w:rsidRPr="0008630D">
        <w:rPr>
          <w:rFonts w:ascii="TH SarabunPSK" w:hAnsi="TH SarabunPSK" w:cs="TH SarabunPSK"/>
          <w:sz w:val="24"/>
          <w:szCs w:val="24"/>
          <w:cs/>
        </w:rPr>
        <w:t xml:space="preserve">โรงพยาบาลอุทุมพรพิสัย   </w:t>
      </w:r>
    </w:p>
    <w:p w14:paraId="20233C68" w14:textId="4D6A0503" w:rsidR="0008630D" w:rsidRPr="00C721C6" w:rsidRDefault="00CB7E9F" w:rsidP="00CB7E9F">
      <w:pPr>
        <w:rPr>
          <w:rFonts w:ascii="TH SarabunPSK" w:hAnsi="TH SarabunPSK" w:cs="TH SarabunPSK"/>
          <w:sz w:val="24"/>
          <w:szCs w:val="24"/>
        </w:rPr>
      </w:pPr>
      <w:r w:rsidRPr="0008630D">
        <w:rPr>
          <w:rFonts w:ascii="TH SarabunPSK" w:hAnsi="TH SarabunPSK" w:cs="TH SarabunPSK"/>
          <w:sz w:val="26"/>
          <w:szCs w:val="26"/>
          <w:u w:val="single"/>
          <w:cs/>
        </w:rPr>
        <w:t xml:space="preserve"> </w:t>
      </w:r>
      <w:r w:rsidR="0008630D" w:rsidRPr="00C721C6">
        <w:rPr>
          <w:rFonts w:ascii="TH SarabunPSK" w:hAnsi="TH SarabunPSK" w:cs="TH SarabunPSK" w:hint="cs"/>
          <w:sz w:val="24"/>
          <w:szCs w:val="24"/>
          <w:u w:val="single"/>
          <w:cs/>
        </w:rPr>
        <w:t>บทนำ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 ทารกคลอดก่อนกำหนด มักมีน้ำหนักตัวน้อยมีการเจริญเติบโตในครรภ์น้อยกว่าปกติ อวัยวะในระบบต่าง ๆ ของร่างกายโดยเฉพาะระบบประสาทที่ควบคุมการดูดกลืนรวมทั้งระบบทางเดินอาหารเติบโตไม่สมบูรณ์ ทั้งนี้อวัยวะที่เกี่ยวข้องกับการดูดกลืนของทารก พัฒนาการดูดกลืนตั้งแต่อายุครรภ์ </w:t>
      </w:r>
      <w:r w:rsidRPr="00C721C6">
        <w:rPr>
          <w:rFonts w:ascii="TH SarabunPSK" w:hAnsi="TH SarabunPSK" w:cs="TH SarabunPSK"/>
          <w:sz w:val="24"/>
          <w:szCs w:val="24"/>
        </w:rPr>
        <w:t xml:space="preserve">26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สัปดาห์ และมีกลไกการดูดกลืนเมื่ออายุครรภ์ </w:t>
      </w:r>
      <w:r w:rsidRPr="00C721C6">
        <w:rPr>
          <w:rFonts w:ascii="TH SarabunPSK" w:hAnsi="TH SarabunPSK" w:cs="TH SarabunPSK"/>
          <w:sz w:val="24"/>
          <w:szCs w:val="24"/>
        </w:rPr>
        <w:t xml:space="preserve">28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สัปดาห์  การช่วยนวด กระตุ้นการดูดกลืนให้ทารกเกิดก่อนกำหนด จะทำให้ ทารกสามารถดูดนมได้โดยเร็วและมีประสิทธิภาพมากขึ้น </w:t>
      </w:r>
    </w:p>
    <w:p w14:paraId="07EBD0D6" w14:textId="77777777" w:rsidR="0008630D" w:rsidRPr="00C721C6" w:rsidRDefault="00CB7E9F" w:rsidP="00CB7E9F">
      <w:pPr>
        <w:rPr>
          <w:rFonts w:ascii="TH SarabunPSK" w:hAnsi="TH SarabunPSK" w:cs="TH SarabunPSK"/>
          <w:sz w:val="24"/>
          <w:szCs w:val="24"/>
        </w:rPr>
      </w:pPr>
      <w:r w:rsidRPr="00C721C6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C721C6">
        <w:rPr>
          <w:rFonts w:ascii="TH SarabunPSK" w:hAnsi="TH SarabunPSK" w:cs="TH SarabunPSK"/>
          <w:sz w:val="24"/>
          <w:szCs w:val="24"/>
          <w:u w:val="single"/>
          <w:cs/>
        </w:rPr>
        <w:t>วิธีดำเนินการ</w:t>
      </w:r>
      <w:r w:rsidRPr="00C721C6">
        <w:rPr>
          <w:rFonts w:ascii="TH SarabunPSK" w:hAnsi="TH SarabunPSK" w:cs="TH SarabunPSK"/>
          <w:sz w:val="24"/>
          <w:szCs w:val="24"/>
          <w:cs/>
        </w:rPr>
        <w:t>: ระหว่างเดือน มกราคม พ.ศ.</w:t>
      </w:r>
      <w:r w:rsidRPr="00C721C6">
        <w:rPr>
          <w:rFonts w:ascii="TH SarabunPSK" w:hAnsi="TH SarabunPSK" w:cs="TH SarabunPSK"/>
          <w:sz w:val="24"/>
          <w:szCs w:val="24"/>
        </w:rPr>
        <w:t>2567-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มีนาคม พ.ศ. </w:t>
      </w:r>
      <w:r w:rsidRPr="00C721C6">
        <w:rPr>
          <w:rFonts w:ascii="TH SarabunPSK" w:hAnsi="TH SarabunPSK" w:cs="TH SarabunPSK"/>
          <w:sz w:val="24"/>
          <w:szCs w:val="24"/>
        </w:rPr>
        <w:t>256</w:t>
      </w:r>
      <w:r w:rsidR="0008630D" w:rsidRPr="00C721C6">
        <w:rPr>
          <w:rFonts w:ascii="TH SarabunPSK" w:hAnsi="TH SarabunPSK" w:cs="TH SarabunPSK"/>
          <w:sz w:val="24"/>
          <w:szCs w:val="24"/>
        </w:rPr>
        <w:t>9</w:t>
      </w:r>
      <w:r w:rsidRPr="00C721C6">
        <w:rPr>
          <w:rFonts w:ascii="TH SarabunPSK" w:hAnsi="TH SarabunPSK" w:cs="TH SarabunPSK"/>
          <w:sz w:val="24"/>
          <w:szCs w:val="24"/>
        </w:rPr>
        <w:t xml:space="preserve">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จำนวน </w:t>
      </w:r>
      <w:r w:rsidR="0008630D" w:rsidRPr="00C721C6">
        <w:rPr>
          <w:rFonts w:ascii="TH SarabunPSK" w:hAnsi="TH SarabunPSK" w:cs="TH SarabunPSK"/>
          <w:sz w:val="24"/>
          <w:szCs w:val="24"/>
        </w:rPr>
        <w:t>5</w:t>
      </w:r>
      <w:r w:rsidRPr="00C721C6">
        <w:rPr>
          <w:rFonts w:ascii="TH SarabunPSK" w:hAnsi="TH SarabunPSK" w:cs="TH SarabunPSK"/>
          <w:sz w:val="24"/>
          <w:szCs w:val="24"/>
        </w:rPr>
        <w:t xml:space="preserve">0 </w:t>
      </w:r>
      <w:r w:rsidRPr="00C721C6">
        <w:rPr>
          <w:rFonts w:ascii="TH SarabunPSK" w:hAnsi="TH SarabunPSK" w:cs="TH SarabunPSK"/>
          <w:sz w:val="24"/>
          <w:szCs w:val="24"/>
          <w:cs/>
        </w:rPr>
        <w:t>ราย เป็นทารกคลอดก่อนกำหนด อายุครรภ์</w:t>
      </w:r>
      <w:r w:rsidRPr="00C721C6">
        <w:rPr>
          <w:rFonts w:ascii="TH SarabunPSK" w:hAnsi="TH SarabunPSK" w:cs="TH SarabunPSK"/>
          <w:sz w:val="24"/>
          <w:szCs w:val="24"/>
        </w:rPr>
        <w:t xml:space="preserve">&lt;37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สัปดาห์ และน้ำหนักตัว </w:t>
      </w:r>
      <w:r w:rsidRPr="00C721C6">
        <w:rPr>
          <w:rFonts w:ascii="TH SarabunPSK" w:hAnsi="TH SarabunPSK" w:cs="TH SarabunPSK"/>
          <w:sz w:val="24"/>
          <w:szCs w:val="24"/>
        </w:rPr>
        <w:t xml:space="preserve">&lt; 2,500 </w:t>
      </w:r>
      <w:r w:rsidRPr="00C721C6">
        <w:rPr>
          <w:rFonts w:ascii="TH SarabunPSK" w:hAnsi="TH SarabunPSK" w:cs="TH SarabunPSK"/>
          <w:sz w:val="24"/>
          <w:szCs w:val="24"/>
          <w:cs/>
        </w:rPr>
        <w:t>กรัม โดยคัดเลือกแบบเฉพาะเจาะจงตามคุณสมบัติที่กำหนดไว้ โดยการสุ่มแบบจับคู่ในด้านอายุหลังปฏิสนธิ น้ำหนัก ณ วันที่ทำการศึกษา และระยะเวลาในการนอนรพ.เข้ากลุ่มทดลองและกลุ่มควบคุม กลุ่มละ</w:t>
      </w:r>
      <w:r w:rsidRPr="00C721C6">
        <w:rPr>
          <w:rFonts w:ascii="TH SarabunPSK" w:hAnsi="TH SarabunPSK" w:cs="TH SarabunPSK"/>
          <w:sz w:val="24"/>
          <w:szCs w:val="24"/>
        </w:rPr>
        <w:t xml:space="preserve">20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ราย กลุ่มทดลองได้รับการกระตุ้นการดูดกลืนเวรละ </w:t>
      </w:r>
      <w:r w:rsidRPr="00C721C6">
        <w:rPr>
          <w:rFonts w:ascii="TH SarabunPSK" w:hAnsi="TH SarabunPSK" w:cs="TH SarabunPSK"/>
          <w:sz w:val="24"/>
          <w:szCs w:val="24"/>
        </w:rPr>
        <w:t xml:space="preserve">1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ครั้ง เป็นเวลา </w:t>
      </w:r>
      <w:r w:rsidRPr="00C721C6">
        <w:rPr>
          <w:rFonts w:ascii="TH SarabunPSK" w:hAnsi="TH SarabunPSK" w:cs="TH SarabunPSK"/>
          <w:sz w:val="24"/>
          <w:szCs w:val="24"/>
        </w:rPr>
        <w:t xml:space="preserve">2 </w:t>
      </w:r>
      <w:r w:rsidRPr="00C721C6">
        <w:rPr>
          <w:rFonts w:ascii="TH SarabunPSK" w:hAnsi="TH SarabunPSK" w:cs="TH SarabunPSK"/>
          <w:sz w:val="24"/>
          <w:szCs w:val="24"/>
          <w:cs/>
        </w:rPr>
        <w:t>วัน และกลุ่มควบคุมได้รับการพยาบาลตามปกติ เครื่องมือที่ใช้ในการรวบรวมข้อมูล ประกอบด้วย แบบบันทึกข้อมูลส่วนบุคคลของทารกเกิดก่อนกำหนด น้ำหนักตัวน้อย และมารดา และแบบประเมินพฤติกรรมการดูดนมมารดาของทารกเกิดก่อนกำหนด และน้ำหนักตัวน้อย หลังจากได้รับการกระตุ้นดูดกลืน โดยการนวด ปาก คาง ลิ้น  จัดเก็บข้อมูลระหว่างเดือน มกราคม พ.ศ.</w:t>
      </w:r>
      <w:r w:rsidRPr="00C721C6">
        <w:rPr>
          <w:rFonts w:ascii="TH SarabunPSK" w:hAnsi="TH SarabunPSK" w:cs="TH SarabunPSK"/>
          <w:sz w:val="24"/>
          <w:szCs w:val="24"/>
        </w:rPr>
        <w:t>2567 -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มีนาคม พ.ศ. </w:t>
      </w:r>
      <w:r w:rsidRPr="00C721C6">
        <w:rPr>
          <w:rFonts w:ascii="TH SarabunPSK" w:hAnsi="TH SarabunPSK" w:cs="TH SarabunPSK"/>
          <w:sz w:val="24"/>
          <w:szCs w:val="24"/>
        </w:rPr>
        <w:t>256</w:t>
      </w:r>
      <w:r w:rsidR="0008630D" w:rsidRPr="00C721C6">
        <w:rPr>
          <w:rFonts w:ascii="TH SarabunPSK" w:hAnsi="TH SarabunPSK" w:cs="TH SarabunPSK"/>
          <w:sz w:val="24"/>
          <w:szCs w:val="24"/>
        </w:rPr>
        <w:t>9</w:t>
      </w:r>
      <w:r w:rsidRPr="00C721C6">
        <w:rPr>
          <w:rFonts w:ascii="TH SarabunPSK" w:hAnsi="TH SarabunPSK" w:cs="TH SarabunPSK"/>
          <w:sz w:val="24"/>
          <w:szCs w:val="24"/>
        </w:rPr>
        <w:t xml:space="preserve">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จำนวน </w:t>
      </w:r>
      <w:r w:rsidR="0008630D" w:rsidRPr="00C721C6">
        <w:rPr>
          <w:rFonts w:ascii="TH SarabunPSK" w:hAnsi="TH SarabunPSK" w:cs="TH SarabunPSK"/>
          <w:sz w:val="24"/>
          <w:szCs w:val="24"/>
        </w:rPr>
        <w:t>5</w:t>
      </w:r>
      <w:r w:rsidRPr="00C721C6">
        <w:rPr>
          <w:rFonts w:ascii="TH SarabunPSK" w:hAnsi="TH SarabunPSK" w:cs="TH SarabunPSK"/>
          <w:sz w:val="24"/>
          <w:szCs w:val="24"/>
        </w:rPr>
        <w:t xml:space="preserve">0 </w:t>
      </w:r>
      <w:r w:rsidRPr="00C721C6">
        <w:rPr>
          <w:rFonts w:ascii="TH SarabunPSK" w:hAnsi="TH SarabunPSK" w:cs="TH SarabunPSK"/>
          <w:sz w:val="24"/>
          <w:szCs w:val="24"/>
          <w:cs/>
        </w:rPr>
        <w:t>ราย เป็นทารกคลอดก่อนกำหนด อายุครรภ์</w:t>
      </w:r>
      <w:r w:rsidRPr="00C721C6">
        <w:rPr>
          <w:rFonts w:ascii="TH SarabunPSK" w:hAnsi="TH SarabunPSK" w:cs="TH SarabunPSK"/>
          <w:sz w:val="24"/>
          <w:szCs w:val="24"/>
        </w:rPr>
        <w:t xml:space="preserve">&lt;37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สัปดาห์ และน้ำหนักตัว </w:t>
      </w:r>
      <w:r w:rsidRPr="00C721C6">
        <w:rPr>
          <w:rFonts w:ascii="TH SarabunPSK" w:hAnsi="TH SarabunPSK" w:cs="TH SarabunPSK"/>
          <w:sz w:val="24"/>
          <w:szCs w:val="24"/>
        </w:rPr>
        <w:t xml:space="preserve">&lt; 2,500 </w:t>
      </w:r>
      <w:r w:rsidRPr="00C721C6">
        <w:rPr>
          <w:rFonts w:ascii="TH SarabunPSK" w:hAnsi="TH SarabunPSK" w:cs="TH SarabunPSK"/>
          <w:sz w:val="24"/>
          <w:szCs w:val="24"/>
          <w:cs/>
        </w:rPr>
        <w:t>กรัม โดยคัดเลือกแบบเฉพาะเจาะจงตามคุณสมบัติที่กำหนดไว้ โดยการสุ่มแบบจับคู่ในด้านอายุหลังปฏิสนธิ น้ำหนัก ณ วันที่ทำการศึกษา และระยะเวลาในการนอนรพ. เข้ากลุ่มทดลองและกลุ่มควบคุม กลุ่มละ</w:t>
      </w:r>
      <w:r w:rsidRPr="00C721C6">
        <w:rPr>
          <w:rFonts w:ascii="TH SarabunPSK" w:hAnsi="TH SarabunPSK" w:cs="TH SarabunPSK"/>
          <w:sz w:val="24"/>
          <w:szCs w:val="24"/>
        </w:rPr>
        <w:t>2</w:t>
      </w:r>
      <w:r w:rsidR="0008630D" w:rsidRPr="00C721C6">
        <w:rPr>
          <w:rFonts w:ascii="TH SarabunPSK" w:hAnsi="TH SarabunPSK" w:cs="TH SarabunPSK"/>
          <w:sz w:val="24"/>
          <w:szCs w:val="24"/>
        </w:rPr>
        <w:t>5</w:t>
      </w:r>
      <w:r w:rsidRPr="00C721C6">
        <w:rPr>
          <w:rFonts w:ascii="TH SarabunPSK" w:hAnsi="TH SarabunPSK" w:cs="TH SarabunPSK"/>
          <w:sz w:val="24"/>
          <w:szCs w:val="24"/>
        </w:rPr>
        <w:t xml:space="preserve">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ราย กลุ่มทดลองได้รับการกระตุ้นการดูดกลืนเวรละ </w:t>
      </w:r>
      <w:r w:rsidRPr="00C721C6">
        <w:rPr>
          <w:rFonts w:ascii="TH SarabunPSK" w:hAnsi="TH SarabunPSK" w:cs="TH SarabunPSK"/>
          <w:sz w:val="24"/>
          <w:szCs w:val="24"/>
        </w:rPr>
        <w:t xml:space="preserve">1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ครั้ง เป็นเวลา </w:t>
      </w:r>
      <w:r w:rsidRPr="00C721C6">
        <w:rPr>
          <w:rFonts w:ascii="TH SarabunPSK" w:hAnsi="TH SarabunPSK" w:cs="TH SarabunPSK"/>
          <w:sz w:val="24"/>
          <w:szCs w:val="24"/>
        </w:rPr>
        <w:t xml:space="preserve">2 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วัน และกลุ่มควบคุมได้รับการพยาบาลตามปกติ เครื่องมือที่ใช้ในการดำเนินการ คือ แผนการกระตุ้นการดูดกลืนในทารกเกิดก่อนกำหนด และน้ำหนักตัวน้อย เครื่องมือที่ใช้ในการรวบรวมข้อมูล ประกอบด้วย แบบบันทึกข้อมูลส่วนบุคคลของทารกเกิดก่อนกำหนด น้ำหนักตัวน้อย และมารดา และแบบประเมินพฤติกรรมการดูดนมมารดาของทารกเกิดก่อนกำหนด และน้ำหนักตัวน้อย หลังจากได้รับการกระตุ้นดูดกลืน โดยการนวด ปาก คาง ลิ้น โดยจะชั่งน้ำหนักทารกก่อน ให้ดูดนมมารดา แล้วให้ดูดนมมารดา </w:t>
      </w:r>
      <w:r w:rsidRPr="00C721C6">
        <w:rPr>
          <w:rFonts w:ascii="TH SarabunPSK" w:hAnsi="TH SarabunPSK" w:cs="TH SarabunPSK"/>
          <w:sz w:val="24"/>
          <w:szCs w:val="24"/>
        </w:rPr>
        <w:t>15-30</w:t>
      </w:r>
      <w:r w:rsidRPr="00C721C6">
        <w:rPr>
          <w:rFonts w:ascii="TH SarabunPSK" w:hAnsi="TH SarabunPSK" w:cs="TH SarabunPSK"/>
          <w:sz w:val="24"/>
          <w:szCs w:val="24"/>
          <w:cs/>
        </w:rPr>
        <w:t xml:space="preserve">นาที หลังจากดูดนมมารดาแล้ว ชั่งน้ำหนักทารก เพื่อประเมินน้ำหนักหลังทารกดูดนม ว่าน้ำหนักขึ้นหรือไม่ โดยจะคิดเป็นร้อยละ </w:t>
      </w:r>
    </w:p>
    <w:p w14:paraId="036D6896" w14:textId="784C1399" w:rsidR="00CB7E9F" w:rsidRPr="00C721C6" w:rsidRDefault="00CB7E9F" w:rsidP="00CB7E9F">
      <w:pPr>
        <w:rPr>
          <w:rFonts w:ascii="TH SarabunPSK" w:hAnsi="TH SarabunPSK" w:cs="TH SarabunPSK"/>
          <w:sz w:val="24"/>
          <w:szCs w:val="24"/>
        </w:rPr>
      </w:pPr>
      <w:r w:rsidRPr="00C721C6">
        <w:rPr>
          <w:rFonts w:ascii="TH SarabunPSK" w:hAnsi="TH SarabunPSK" w:cs="TH SarabunPSK"/>
          <w:sz w:val="24"/>
          <w:szCs w:val="24"/>
          <w:u w:val="single"/>
          <w:cs/>
        </w:rPr>
        <w:t>การนำผลการศึกษาไปใช้</w:t>
      </w:r>
      <w:r w:rsidRPr="00C721C6">
        <w:rPr>
          <w:rFonts w:ascii="TH SarabunPSK" w:hAnsi="TH SarabunPSK" w:cs="TH SarabunPSK"/>
          <w:sz w:val="24"/>
          <w:szCs w:val="24"/>
          <w:cs/>
        </w:rPr>
        <w:t>:พยาบาลบุคลากรด้านสุขภาพ และมารดาหลังคลอด สามารถนำการกระตุ้นดูดกลืนไปใช้กับทารกคลอดก่อนกำหนดและน้ำหนักตัวน้อย เพื่อส่งเสริมให้ทารกคลอดก่อนกำหนดและน้ำหนักตัวน้อยมีประสิทธิภาพในการดูดกลืนมากขึ้น จากการศึกษา จะเห็นได้ว่า ทารกคลอดก่อนกำหนดและน้ำหนักตัวน้อย ที่ได้รับการนวด กระตุ้นดูดกลืน จะสามรถดูดกลืน ได้เร็วและมีประสิทธิภาพมากกว่า ทารกคลอดก่อนกำหนดและน้ำหนักตัวน้อยที่ไม่ได้รับการนวดกระตุ้นดูดกลืน   คิดเป็น ร้อยละ</w:t>
      </w:r>
      <w:r w:rsidRPr="00C721C6">
        <w:rPr>
          <w:rFonts w:ascii="TH SarabunPSK" w:hAnsi="TH SarabunPSK" w:cs="TH SarabunPSK"/>
          <w:sz w:val="24"/>
          <w:szCs w:val="24"/>
        </w:rPr>
        <w:t xml:space="preserve">90%  </w:t>
      </w:r>
    </w:p>
    <w:p w14:paraId="5711CC38" w14:textId="77777777" w:rsidR="004B5F5D" w:rsidRDefault="00C721C6" w:rsidP="00CB7E9F">
      <w:pPr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</w:rPr>
        <w:t xml:space="preserve"> </w:t>
      </w:r>
      <w:r>
        <w:rPr>
          <w:rFonts w:ascii="TH SarabunPSK" w:hAnsi="TH SarabunPSK" w:cs="TH SarabunPSK"/>
          <w:noProof/>
          <w:sz w:val="26"/>
          <w:szCs w:val="26"/>
        </w:rPr>
        <w:drawing>
          <wp:inline distT="0" distB="0" distL="0" distR="0" wp14:anchorId="2284C646" wp14:editId="762F243F">
            <wp:extent cx="799654" cy="757555"/>
            <wp:effectExtent l="0" t="0" r="635" b="444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67" cy="796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26"/>
          <w:szCs w:val="26"/>
        </w:rPr>
        <w:drawing>
          <wp:inline distT="0" distB="0" distL="0" distR="0" wp14:anchorId="00CAFE40" wp14:editId="10833362">
            <wp:extent cx="520875" cy="7048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92" cy="722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26"/>
          <w:szCs w:val="26"/>
        </w:rPr>
        <w:drawing>
          <wp:inline distT="0" distB="0" distL="0" distR="0" wp14:anchorId="183B071E" wp14:editId="2745AD4F">
            <wp:extent cx="600075" cy="855154"/>
            <wp:effectExtent l="0" t="0" r="0" b="254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0" cy="867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26"/>
          <w:szCs w:val="26"/>
        </w:rPr>
        <w:drawing>
          <wp:inline distT="0" distB="0" distL="0" distR="0" wp14:anchorId="53B902F1" wp14:editId="2174035F">
            <wp:extent cx="1171575" cy="816793"/>
            <wp:effectExtent l="0" t="0" r="0" b="254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006" cy="833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26"/>
          <w:szCs w:val="26"/>
        </w:rPr>
        <w:drawing>
          <wp:inline distT="0" distB="0" distL="0" distR="0" wp14:anchorId="7A84A716" wp14:editId="513ABD66">
            <wp:extent cx="619352" cy="838108"/>
            <wp:effectExtent l="0" t="0" r="0" b="63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61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6E1CA" w14:textId="65A71D09" w:rsidR="004B5F5D" w:rsidRPr="004B5F5D" w:rsidRDefault="004B5F5D" w:rsidP="00CB7E9F">
      <w:pPr>
        <w:rPr>
          <w:rFonts w:ascii="TH SarabunPSK" w:hAnsi="TH SarabunPSK" w:cs="TH SarabunPSK"/>
          <w:sz w:val="24"/>
          <w:szCs w:val="24"/>
        </w:rPr>
      </w:pPr>
      <w:r w:rsidRPr="004B5F5D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4B5F5D">
        <w:rPr>
          <w:rFonts w:ascii="TH SarabunPSK" w:hAnsi="TH SarabunPSK" w:cs="TH SarabunPSK" w:hint="cs"/>
          <w:sz w:val="24"/>
          <w:szCs w:val="24"/>
          <w:cs/>
        </w:rPr>
        <w:t>อ้างอิง</w:t>
      </w:r>
      <w:r w:rsidRPr="004B5F5D">
        <w:rPr>
          <w:rFonts w:ascii="TH SarabunPSK" w:hAnsi="TH SarabunPSK" w:cs="TH SarabunPSK"/>
          <w:sz w:val="24"/>
          <w:szCs w:val="24"/>
          <w:cs/>
        </w:rPr>
        <w:t xml:space="preserve">   </w:t>
      </w:r>
      <w:proofErr w:type="spellStart"/>
      <w:r w:rsidRPr="004B5F5D">
        <w:rPr>
          <w:rFonts w:ascii="TH SarabunPSK" w:hAnsi="TH SarabunPSK" w:cs="TH SarabunPSK"/>
          <w:sz w:val="24"/>
          <w:szCs w:val="24"/>
          <w:cs/>
        </w:rPr>
        <w:t>ขิ่ม</w:t>
      </w:r>
      <w:proofErr w:type="spellEnd"/>
      <w:r w:rsidRPr="004B5F5D">
        <w:rPr>
          <w:rFonts w:ascii="TH SarabunPSK" w:hAnsi="TH SarabunPSK" w:cs="TH SarabunPSK"/>
          <w:sz w:val="24"/>
          <w:szCs w:val="24"/>
          <w:cs/>
        </w:rPr>
        <w:t xml:space="preserve"> สกุลนิ่ม การกระตุ้มดูดกลืนในทารก</w:t>
      </w:r>
      <w:r w:rsidRPr="004B5F5D">
        <w:rPr>
          <w:rFonts w:ascii="TH SarabunPSK" w:hAnsi="TH SarabunPSK" w:cs="TH SarabunPSK"/>
          <w:sz w:val="24"/>
          <w:szCs w:val="24"/>
        </w:rPr>
        <w:t>,</w:t>
      </w:r>
      <w:r w:rsidRPr="004B5F5D">
        <w:rPr>
          <w:rFonts w:ascii="TH SarabunPSK" w:hAnsi="TH SarabunPSK" w:cs="TH SarabunPSK"/>
          <w:sz w:val="24"/>
          <w:szCs w:val="24"/>
          <w:cs/>
        </w:rPr>
        <w:t>วารสาร สถาบันสุขภาพเด็กแห่งชาติมหาราชินีฉบับที่</w:t>
      </w:r>
      <w:r w:rsidRPr="004B5F5D">
        <w:rPr>
          <w:rFonts w:ascii="TH SarabunPSK" w:hAnsi="TH SarabunPSK" w:cs="TH SarabunPSK"/>
          <w:sz w:val="24"/>
          <w:szCs w:val="24"/>
        </w:rPr>
        <w:t>4, (</w:t>
      </w:r>
      <w:r w:rsidRPr="004B5F5D">
        <w:rPr>
          <w:rFonts w:ascii="TH SarabunPSK" w:hAnsi="TH SarabunPSK" w:cs="TH SarabunPSK"/>
          <w:sz w:val="24"/>
          <w:szCs w:val="24"/>
          <w:cs/>
        </w:rPr>
        <w:t xml:space="preserve">ตุลาคม-ธันวาคม พ.ศ. </w:t>
      </w:r>
      <w:r w:rsidRPr="004B5F5D">
        <w:rPr>
          <w:rFonts w:ascii="TH SarabunPSK" w:hAnsi="TH SarabunPSK" w:cs="TH SarabunPSK"/>
          <w:sz w:val="24"/>
          <w:szCs w:val="24"/>
        </w:rPr>
        <w:t>2561).</w:t>
      </w:r>
    </w:p>
    <w:sectPr w:rsidR="004B5F5D" w:rsidRPr="004B5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9F"/>
    <w:rsid w:val="0008630D"/>
    <w:rsid w:val="000B3FEA"/>
    <w:rsid w:val="00417AC6"/>
    <w:rsid w:val="004A5036"/>
    <w:rsid w:val="004B5F5D"/>
    <w:rsid w:val="00672487"/>
    <w:rsid w:val="0078263A"/>
    <w:rsid w:val="008915D2"/>
    <w:rsid w:val="00C721C6"/>
    <w:rsid w:val="00CB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A5D71"/>
  <w15:chartTrackingRefBased/>
  <w15:docId w15:val="{090BE5ED-D728-4A88-B300-E3159C04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E9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B7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2025-06-25T09:58:00Z</cp:lastPrinted>
  <dcterms:created xsi:type="dcterms:W3CDTF">2026-05-08T06:06:00Z</dcterms:created>
  <dcterms:modified xsi:type="dcterms:W3CDTF">2026-05-08T06:06:00Z</dcterms:modified>
</cp:coreProperties>
</file>