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b/>
          <w:bCs/>
          <w:sz w:val="32"/>
          <w:szCs w:val="32"/>
          <w:cs/>
        </w:rPr>
        <w:t xml:space="preserve">เรื่อง การสร้าง </w:t>
      </w:r>
      <w:r>
        <w:rPr>
          <w:rFonts w:ascii="TH SarabunIT๙" w:cs="TH SarabunIT๙" w:eastAsia="Sarabun" w:hAnsi="TH SarabunIT๙"/>
          <w:b/>
          <w:bCs/>
          <w:sz w:val="32"/>
          <w:szCs w:val="32"/>
        </w:rPr>
        <w:t xml:space="preserve">OR code </w:t>
      </w:r>
      <w:r>
        <w:rPr>
          <w:rFonts w:ascii="TH SarabunIT๙" w:cs="TH SarabunIT๙" w:eastAsia="Sarabun" w:hAnsi="TH SarabunIT๙"/>
          <w:b/>
          <w:bCs/>
          <w:sz w:val="32"/>
          <w:szCs w:val="32"/>
          <w:cs/>
        </w:rPr>
        <w:t>ให้ญาติสแกนดูวิดีโอให้ความรู้โรคชักจากไข้สูง</w:t>
      </w:r>
    </w:p>
    <w:p>
      <w:pPr>
        <w:pStyle w:val="style0"/>
        <w:spacing w:after="0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b/>
          <w:bCs/>
          <w:sz w:val="32"/>
          <w:szCs w:val="32"/>
          <w:cs/>
        </w:rPr>
        <w:t>หลักการและเหตุผล</w:t>
      </w:r>
    </w:p>
    <w:p>
      <w:pPr>
        <w:pStyle w:val="style0"/>
        <w:spacing w:after="0"/>
        <w:ind w:firstLine="720"/>
        <w:rPr>
          <w:rFonts w:ascii="TH SarabunIT๙" w:cs="TH SarabunIT๙" w:eastAsia="Sarabun" w:hAnsi="TH SarabunIT๙"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  <w:cs/>
        </w:rPr>
        <w:t xml:space="preserve">ภาวะชักจากไข้สูง </w:t>
      </w:r>
      <w:r>
        <w:rPr>
          <w:rFonts w:ascii="TH SarabunIT๙" w:cs="TH SarabunIT๙" w:eastAsia="Sarabun" w:hAnsi="TH SarabunIT๙"/>
          <w:sz w:val="32"/>
          <w:szCs w:val="32"/>
        </w:rPr>
        <w:t>(Febrile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 </w:t>
      </w:r>
      <w:r>
        <w:rPr>
          <w:rFonts w:ascii="TH SarabunIT๙" w:cs="TH SarabunIT๙" w:eastAsia="Sarabun" w:hAnsi="TH SarabunIT๙"/>
          <w:sz w:val="32"/>
          <w:szCs w:val="32"/>
        </w:rPr>
        <w:t xml:space="preserve">convulsion)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เป็นภาวะที่พบบ่อยในเด็กอายุ </w:t>
      </w:r>
      <w:r>
        <w:rPr>
          <w:rFonts w:ascii="TH SarabunIT๙" w:cs="TH SarabunIT๙" w:eastAsia="Sarabun" w:hAnsi="TH SarabunIT๙"/>
          <w:sz w:val="32"/>
          <w:szCs w:val="32"/>
        </w:rPr>
        <w:t xml:space="preserve">6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เดือน </w:t>
      </w:r>
      <w:r>
        <w:rPr>
          <w:rFonts w:ascii="TH SarabunIT๙" w:cs="TH SarabunIT๙" w:eastAsia="Sarabun" w:hAnsi="TH SarabunIT๙"/>
          <w:sz w:val="32"/>
          <w:szCs w:val="32"/>
        </w:rPr>
        <w:t xml:space="preserve">– 5 </w:t>
      </w:r>
      <w:r>
        <w:rPr>
          <w:rFonts w:ascii="TH SarabunIT๙" w:cs="TH SarabunIT๙" w:eastAsia="Sarabun" w:hAnsi="TH SarabunIT๙"/>
          <w:sz w:val="32"/>
          <w:szCs w:val="32"/>
          <w:cs/>
        </w:rPr>
        <w:t>ปีถึงแม้การพยากรณ์โรคจะค่อนข้างดีแต่ก็สร้างความกังวลใจแก่ผู้ดูแลเป็นอย่างมาก และหากเด็กชักซ้ำจะส่งผลกระทบตามมาหลายประการ พยาบาลมีบทบาทสำคัญในการใช้กระบวนการพยาบาลเพื่อประเมินสภาพเด็กเมื่อแรกรับ มีส่วนร่วมในการค้นหาสาเหตุของไข้ให้การดูแลเด็กขณะชัก จัดการเรื่องไข้และป้องกันการชักซ้ำ ตลอดจนเตรียมผู้ดูแลในการจัดการเรื่องไข้ที่บ้านและการช่วยเหลือเด็กเบื้องต้นหากมีอาการชักจากไข้สูงเกิดขึ้น บทความนี้จึงมีจุดมุ่งหมายเพื่อนำเสนอเกี่ยวกับภาวะชักจากไข้สูงและบทบาทพยาบาลในการดูแลเด็กที่ชักจาก ไข้สูง เพื่อให้พยาบาลมีแนวทางในการวางแผนและให้การพยาบาลเด็กที่ชักจากไข้สูงได้อย่างมีประสิทธิภาพ อันจะคงไว้ซึ่งคุณภาพ ชีวิตที่ดีของเด็กและผู้ดูแลต่อไป</w:t>
      </w:r>
    </w:p>
    <w:p>
      <w:pPr>
        <w:pStyle w:val="style0"/>
        <w:spacing w:after="0" w:lineRule="auto" w:line="276"/>
        <w:rPr>
          <w:rFonts w:ascii="TH SarabunIT๙" w:cs="TH SarabunIT๙" w:eastAsia="Sarabun" w:hAnsi="TH SarabunIT๙"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  <w:cs/>
        </w:rPr>
        <w:t xml:space="preserve">         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จากการทบทวนการดูแลผู้ป่วยโรคชักจากไข้สูง ที่ </w:t>
      </w:r>
      <w:r>
        <w:rPr>
          <w:rFonts w:ascii="TH SarabunIT๙" w:cs="TH SarabunIT๙" w:eastAsia="Sarabun" w:hAnsi="TH SarabunIT๙"/>
          <w:sz w:val="32"/>
          <w:szCs w:val="32"/>
        </w:rPr>
        <w:t xml:space="preserve">admit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ที่หอผู้ป่วย ในปี </w:t>
      </w:r>
      <w:r>
        <w:rPr>
          <w:rFonts w:ascii="TH SarabunIT๙" w:cs="TH SarabunIT๙" w:eastAsia="Sarabun" w:hAnsi="TH SarabunIT๙"/>
          <w:sz w:val="32"/>
          <w:szCs w:val="32"/>
        </w:rPr>
        <w:t xml:space="preserve">2568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จำนวน </w:t>
      </w:r>
      <w:r>
        <w:rPr>
          <w:rFonts w:ascii="TH SarabunIT๙" w:cs="TH SarabunIT๙" w:eastAsia="Sarabun" w:hAnsi="TH SarabunIT๙"/>
          <w:sz w:val="32"/>
          <w:szCs w:val="32"/>
        </w:rPr>
        <w:t xml:space="preserve">5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ราย พบประเด็นปัญหาที่สำคัญ คือ  ญาติขาดความรู้ในการช่วยเหลือเด็กเบื้องต้นหากมีอาการชักจากไข้  เจ้าหน้าที่ขาดแนวทางในการปฏิบัติ การให้คำแนะนำในการเช็ดตัวลดไข้ให้ถูกวิธีหากญาติได้รับการสอนความรู้เรื่องโรคชักจากไข้สูง และการเช็ดตัวให้ถูกวิธีทำให้มีความรู้เบื้องต้นในการดูแลผู้ป่วยภาวะชักจากไข้สูงมากขึ้น ลดการเกิดภาวะแทรกซ้อนจากภาวะชักจากไข้สูง จึงทำให้ผู้ศึกษามีความสนใจในการสร้าง </w:t>
      </w:r>
      <w:r>
        <w:rPr>
          <w:rFonts w:ascii="TH SarabunIT๙" w:cs="TH SarabunIT๙" w:eastAsia="Sarabun" w:hAnsi="TH SarabunIT๙"/>
          <w:sz w:val="32"/>
          <w:szCs w:val="32"/>
        </w:rPr>
        <w:t xml:space="preserve">OR Code  </w:t>
      </w:r>
      <w:r>
        <w:rPr>
          <w:rFonts w:ascii="TH SarabunIT๙" w:cs="TH SarabunIT๙" w:eastAsia="Sarabun" w:hAnsi="TH SarabunIT๙"/>
          <w:sz w:val="32"/>
          <w:szCs w:val="32"/>
          <w:cs/>
        </w:rPr>
        <w:t>ให้ผู้ป่วยและญาติสแกนดูวิดีโอให้ความรู้โรคชักจากไข้</w:t>
      </w:r>
    </w:p>
    <w:p>
      <w:pPr>
        <w:pStyle w:val="style0"/>
        <w:spacing w:after="0" w:lineRule="auto" w:line="276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b/>
          <w:bCs/>
          <w:sz w:val="32"/>
          <w:szCs w:val="32"/>
          <w:cs/>
        </w:rPr>
        <w:t>ขั้นตอนการดำเนินการ</w:t>
      </w:r>
    </w:p>
    <w:p>
      <w:pPr>
        <w:pStyle w:val="style0"/>
        <w:spacing w:after="0" w:lineRule="auto" w:line="276"/>
        <w:ind w:firstLine="720"/>
        <w:rPr>
          <w:rFonts w:ascii="TH SarabunIT๙" w:cs="TH SarabunIT๙" w:eastAsia="Sarabun" w:hAnsi="TH SarabunIT๙"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</w:rPr>
        <w:t xml:space="preserve">1. </w:t>
      </w:r>
      <w:r>
        <w:rPr>
          <w:rFonts w:ascii="TH SarabunIT๙" w:cs="TH SarabunIT๙" w:eastAsia="Sarabun" w:hAnsi="TH SarabunIT๙"/>
          <w:sz w:val="32"/>
          <w:szCs w:val="32"/>
          <w:cs/>
        </w:rPr>
        <w:t>คัดเลือกกลุ่มเป้าหมาย</w:t>
      </w:r>
    </w:p>
    <w:p>
      <w:pPr>
        <w:pStyle w:val="style0"/>
        <w:spacing w:after="0" w:lineRule="auto" w:line="276"/>
        <w:rPr>
          <w:rFonts w:ascii="TH SarabunIT๙" w:cs="TH SarabunIT๙" w:eastAsia="Sarabun" w:hAnsi="TH SarabunIT๙"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</w:rPr>
        <w:t xml:space="preserve">    </w:t>
      </w:r>
      <w:r>
        <w:rPr>
          <w:rFonts w:ascii="TH SarabunIT๙" w:cs="TH SarabunIT๙" w:eastAsia="Sarabun" w:hAnsi="TH SarabunIT๙"/>
          <w:sz w:val="32"/>
          <w:szCs w:val="32"/>
          <w:cs/>
        </w:rPr>
        <w:tab/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    -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ผู้ป่วยเด็กโรคชักจากไข้สูง </w:t>
      </w:r>
      <w:r>
        <w:rPr>
          <w:rFonts w:ascii="TH SarabunIT๙" w:cs="TH SarabunIT๙" w:eastAsia="Sarabun" w:hAnsi="TH SarabunIT๙"/>
          <w:sz w:val="32"/>
          <w:szCs w:val="32"/>
        </w:rPr>
        <w:t xml:space="preserve">admit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ตึกผู้ป่วยในเด็กและหลังคลอด อายุ  </w:t>
      </w:r>
      <w:r>
        <w:rPr>
          <w:rFonts w:ascii="TH SarabunIT๙" w:cs="TH SarabunIT๙" w:eastAsia="Sarabun" w:hAnsi="TH SarabunIT๙"/>
          <w:sz w:val="32"/>
          <w:szCs w:val="32"/>
        </w:rPr>
        <w:t xml:space="preserve">6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เดือน ถึง </w:t>
      </w:r>
      <w:r>
        <w:rPr>
          <w:rFonts w:ascii="TH SarabunIT๙" w:cs="TH SarabunIT๙" w:eastAsia="Sarabun" w:hAnsi="TH SarabunIT๙"/>
          <w:sz w:val="32"/>
          <w:szCs w:val="32"/>
        </w:rPr>
        <w:t xml:space="preserve">5 </w:t>
      </w:r>
      <w:r>
        <w:rPr>
          <w:rFonts w:ascii="TH SarabunIT๙" w:cs="TH SarabunIT๙" w:eastAsia="Sarabun" w:hAnsi="TH SarabunIT๙"/>
          <w:sz w:val="32"/>
          <w:szCs w:val="32"/>
          <w:cs/>
        </w:rPr>
        <w:t>ปี</w:t>
      </w:r>
    </w:p>
    <w:p>
      <w:pPr>
        <w:pStyle w:val="style0"/>
        <w:spacing w:after="0" w:lineRule="auto" w:line="276"/>
        <w:ind w:firstLine="720"/>
        <w:rPr>
          <w:rFonts w:ascii="TH SarabunIT๙" w:cs="TH SarabunIT๙" w:eastAsia="Sarabun" w:hAnsi="TH SarabunIT๙"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</w:rPr>
        <w:t xml:space="preserve">2. </w:t>
      </w:r>
      <w:r>
        <w:rPr>
          <w:rFonts w:ascii="TH SarabunIT๙" w:cs="TH SarabunIT๙" w:eastAsia="Sarabun" w:hAnsi="TH SarabunIT๙"/>
          <w:sz w:val="32"/>
          <w:szCs w:val="32"/>
          <w:cs/>
        </w:rPr>
        <w:t>ศึกษา ค้นคว้า ข้อมูลเกี่ยวกับโรคชักจากไข้สูงในเด็ก การเช็ดตัวลดไข้ที่ถูกวิธี</w:t>
      </w:r>
    </w:p>
    <w:p>
      <w:pPr>
        <w:pStyle w:val="style0"/>
        <w:spacing w:after="12" w:lineRule="auto" w:line="276"/>
        <w:ind w:firstLine="720"/>
        <w:rPr>
          <w:rFonts w:ascii="TH SarabunIT๙" w:cs="TH SarabunIT๙" w:eastAsia="Sarabun" w:hAnsi="TH SarabunIT๙"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</w:rPr>
        <w:t xml:space="preserve">3.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เตรียมการสร้าง </w:t>
      </w:r>
      <w:r>
        <w:rPr>
          <w:rFonts w:ascii="TH SarabunIT๙" w:cs="TH SarabunIT๙" w:eastAsia="Sarabun" w:hAnsi="TH SarabunIT๙"/>
          <w:sz w:val="32"/>
          <w:szCs w:val="32"/>
        </w:rPr>
        <w:t>QR code</w:t>
      </w:r>
    </w:p>
    <w:p>
      <w:pPr>
        <w:pStyle w:val="style0"/>
        <w:spacing w:after="12" w:lineRule="auto" w:line="276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b/>
          <w:bCs/>
          <w:sz w:val="32"/>
          <w:szCs w:val="32"/>
          <w:cs/>
        </w:rPr>
        <w:t>ผลที่คาดว่าจะได้รับ</w:t>
      </w:r>
    </w:p>
    <w:p>
      <w:pPr>
        <w:pStyle w:val="style0"/>
        <w:spacing w:after="12" w:lineRule="auto" w:line="276"/>
        <w:rPr>
          <w:rFonts w:ascii="TH SarabunIT๙" w:cs="TH SarabunIT๙" w:eastAsia="Sarabun" w:hAnsi="TH SarabunIT๙"/>
          <w:sz w:val="32"/>
          <w:szCs w:val="32"/>
        </w:rPr>
      </w:pPr>
      <w:r>
        <w:rPr>
          <w:rFonts w:ascii="TH SarabunIT๙" w:cs="TH SarabunIT๙" w:eastAsia="Sarabun" w:hAnsi="TH SarabunIT๙"/>
          <w:b/>
          <w:bCs/>
          <w:sz w:val="32"/>
          <w:szCs w:val="32"/>
        </w:rPr>
        <w:t xml:space="preserve">          </w:t>
      </w:r>
      <w:r>
        <w:rPr>
          <w:rFonts w:ascii="TH SarabunIT๙" w:cs="TH SarabunIT๙" w:eastAsia="Sarabun" w:hAnsi="TH SarabunIT๙"/>
          <w:sz w:val="32"/>
          <w:szCs w:val="32"/>
        </w:rPr>
        <w:t xml:space="preserve">1. </w:t>
      </w:r>
      <w:r>
        <w:rPr>
          <w:rFonts w:ascii="TH SarabunIT๙" w:cs="TH SarabunIT๙" w:eastAsia="Sarabun" w:hAnsi="TH SarabunIT๙"/>
          <w:sz w:val="32"/>
          <w:szCs w:val="32"/>
          <w:cs/>
        </w:rPr>
        <w:t>ผู้ป่วยได้รับการเช็ดตัวลดไข้ได้ถูกวิธี ทำให้ไข้ลดไม่เกิดภาวะชักซ้ำ</w:t>
      </w:r>
    </w:p>
    <w:p>
      <w:pPr>
        <w:pStyle w:val="style0"/>
        <w:spacing w:after="12" w:lineRule="auto" w:line="276"/>
        <w:ind w:firstLine="720"/>
        <w:rPr>
          <w:rFonts w:ascii="TH SarabunIT๙" w:cs="TH SarabunIT๙" w:eastAsia="Sarabun" w:hAnsi="TH SarabunIT๙"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  <w:cs/>
        </w:rPr>
        <w:t xml:space="preserve">2. </w:t>
      </w:r>
      <w:r>
        <w:rPr>
          <w:rFonts w:ascii="TH SarabunIT๙" w:cs="TH SarabunIT๙" w:eastAsia="Sarabun" w:hAnsi="TH SarabunIT๙"/>
          <w:sz w:val="32"/>
          <w:szCs w:val="32"/>
          <w:cs/>
        </w:rPr>
        <w:t>ผู้ป่วยมีความปลอดภัยและไม่เกิดภาวะแทรกซ้อนจากการชักจากไข้สูง</w:t>
      </w:r>
    </w:p>
    <w:p>
      <w:pPr>
        <w:pStyle w:val="style0"/>
        <w:spacing w:after="12" w:lineRule="auto" w:line="276"/>
        <w:rPr>
          <w:rFonts w:ascii="TH SarabunIT๙" w:cs="TH SarabunIT๙" w:eastAsia="Sarabun" w:hAnsi="TH SarabunIT๙"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  <w:cs/>
        </w:rPr>
        <w:t xml:space="preserve">       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 3.</w:t>
      </w:r>
      <w:r>
        <w:rPr>
          <w:rFonts w:ascii="TH SarabunIT๙" w:cs="TH SarabunIT๙" w:eastAsia="Sarabun" w:hAnsi="TH SarabunIT๙"/>
          <w:sz w:val="32"/>
          <w:szCs w:val="32"/>
        </w:rPr>
        <w:t xml:space="preserve"> </w:t>
      </w:r>
      <w:r>
        <w:rPr>
          <w:rFonts w:ascii="TH SarabunIT๙" w:cs="TH SarabunIT๙" w:eastAsia="Sarabun" w:hAnsi="TH SarabunIT๙"/>
          <w:sz w:val="32"/>
          <w:szCs w:val="32"/>
          <w:cs/>
        </w:rPr>
        <w:t>ญาติมีความรู้ ความเข้าใจเกี่ยวกับภาวะชักจากไข้สูง สามารถดูแลผู้ป่วยเบื้องต้นได้อย่างถูกต้อง</w:t>
      </w:r>
    </w:p>
    <w:p>
      <w:pPr>
        <w:pStyle w:val="style0"/>
        <w:spacing w:after="12" w:lineRule="auto" w:line="276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b/>
          <w:bCs/>
          <w:sz w:val="32"/>
          <w:szCs w:val="32"/>
          <w:cs/>
        </w:rPr>
        <w:t>สรุป</w:t>
      </w:r>
    </w:p>
    <w:p>
      <w:pPr>
        <w:pStyle w:val="style0"/>
        <w:ind w:firstLine="720"/>
        <w:rPr>
          <w:rFonts w:ascii="TH SarabunIT๙" w:cs="TH SarabunIT๙" w:eastAsia="Sarabun" w:hAnsi="TH SarabunIT๙"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  <w:cs/>
        </w:rPr>
        <w:t>การให้ญาติ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หรือผู้ดูแลได้ดูวิดีโอเกี่ยวกับความรู้เรื่องชักจากไข้สูงและการเช็ดตัวลดไข้ที่ถูกวิธี โดยการดูผ่านการสแกน </w:t>
      </w:r>
      <w:r>
        <w:rPr>
          <w:rFonts w:ascii="TH SarabunIT๙" w:cs="TH SarabunIT๙" w:eastAsia="Sarabun" w:hAnsi="TH SarabunIT๙"/>
          <w:sz w:val="32"/>
          <w:szCs w:val="32"/>
        </w:rPr>
        <w:t xml:space="preserve">QR code </w:t>
      </w:r>
      <w:r>
        <w:rPr>
          <w:rFonts w:ascii="TH SarabunIT๙" w:cs="TH SarabunIT๙" w:eastAsia="Sarabun" w:hAnsi="TH SarabunIT๙"/>
          <w:sz w:val="32"/>
          <w:szCs w:val="32"/>
          <w:cs/>
        </w:rPr>
        <w:t>ทำให้ญาติ</w:t>
      </w:r>
      <w:r>
        <w:rPr>
          <w:rFonts w:ascii="TH SarabunIT๙" w:cs="TH SarabunIT๙" w:eastAsia="Sarabun" w:hAnsi="TH SarabunIT๙"/>
          <w:sz w:val="32"/>
          <w:szCs w:val="32"/>
          <w:cs/>
        </w:rPr>
        <w:t>ได้รับข้อมูลที่ถูกต้อง เข้าใจง่าย</w:t>
      </w:r>
      <w:r>
        <w:rPr>
          <w:rFonts w:ascii="TH SarabunIT๙" w:cs="TH SarabunIT๙" w:hAnsi="TH SarabunIT๙"/>
          <w:sz w:val="32"/>
          <w:szCs w:val="32"/>
          <w:cs/>
        </w:rPr>
        <w:t xml:space="preserve"> </w:t>
      </w:r>
      <w:r>
        <w:rPr>
          <w:rFonts w:ascii="TH SarabunIT๙" w:cs="TH SarabunIT๙" w:eastAsia="Sarabun" w:hAnsi="TH SarabunIT๙"/>
          <w:sz w:val="32"/>
          <w:szCs w:val="32"/>
          <w:cs/>
        </w:rPr>
        <w:t>ช่วยลดพฤติกรรมเสี่ยง เพิ่มทักษะการปฐมพยาบาล และลดความวิตกกังวล</w:t>
      </w:r>
      <w:r>
        <w:rPr>
          <w:rFonts w:ascii="TH SarabunIT๙" w:cs="TH SarabunIT๙" w:eastAsia="Sarabun" w:hAnsi="TH SarabunIT๙"/>
          <w:sz w:val="32"/>
          <w:szCs w:val="32"/>
          <w:cs/>
        </w:rPr>
        <w:t>และทำให้ผู้ป่วยไม่เกิดภาวะแทรกซ้อนจากการชักจากไข้สูง</w:t>
      </w:r>
    </w:p>
    <w:p>
      <w:pPr>
        <w:pStyle w:val="style0"/>
        <w:ind w:firstLine="720"/>
        <w:rPr>
          <w:rFonts w:ascii="TH SarabunIT๙" w:cs="TH SarabunIT๙" w:eastAsia="Sarabun" w:hAnsi="TH SarabunIT๙"/>
          <w:sz w:val="32"/>
          <w:szCs w:val="32"/>
        </w:rPr>
      </w:pPr>
    </w:p>
    <w:p>
      <w:pPr>
        <w:pStyle w:val="style0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b/>
          <w:bCs/>
          <w:sz w:val="32"/>
          <w:szCs w:val="32"/>
          <w:cs/>
        </w:rPr>
        <w:t>เอกสารอ้างอิง</w:t>
      </w:r>
    </w:p>
    <w:p>
      <w:pPr>
        <w:pStyle w:val="style0"/>
        <w:spacing w:after="0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  <w:cs/>
        </w:rPr>
        <w:t>โรงพยาบาลพญาไทศรีราชา. (</w:t>
      </w:r>
      <w:r>
        <w:rPr>
          <w:rFonts w:ascii="TH SarabunIT๙" w:cs="TH SarabunIT๙" w:eastAsia="Sarabun" w:hAnsi="TH SarabunIT๙"/>
          <w:sz w:val="32"/>
          <w:szCs w:val="32"/>
        </w:rPr>
        <w:t xml:space="preserve">2566, 19 </w:t>
      </w:r>
      <w:r>
        <w:rPr>
          <w:rFonts w:ascii="TH SarabunIT๙" w:cs="TH SarabunIT๙" w:eastAsia="Sarabun" w:hAnsi="TH SarabunIT๙"/>
          <w:sz w:val="32"/>
          <w:szCs w:val="32"/>
          <w:cs/>
        </w:rPr>
        <w:t>กรกฎาคม ). วิธีเช็ดตัวลดไข้เมื่อมีไข้สูง ป้องกันเด็กชัก.</w:t>
      </w:r>
      <w:r>
        <w:rPr>
          <w:rFonts w:ascii="TH SarabunIT๙" w:cs="TH SarabunIT๙" w:eastAsia="Sarabun" w:hAnsi="TH SarabunIT๙"/>
          <w:sz w:val="32"/>
          <w:szCs w:val="32"/>
        </w:rPr>
        <w:t>   </w:t>
      </w:r>
    </w:p>
    <w:p>
      <w:pPr>
        <w:pStyle w:val="style0"/>
        <w:spacing w:after="0"/>
        <w:ind w:firstLine="720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</w:rPr>
        <w:t> </w:t>
      </w:r>
      <w:r>
        <w:rPr/>
        <w:fldChar w:fldCharType="begin"/>
      </w:r>
      <w:r>
        <w:instrText xml:space="preserve"> HYPERLINK "https://www.youtube.com/watch?v=E47HLYJXAFw" </w:instrText>
      </w:r>
      <w:r>
        <w:rPr/>
        <w:fldChar w:fldCharType="separate"/>
      </w:r>
      <w:r>
        <w:rPr>
          <w:rStyle w:val="style85"/>
          <w:rFonts w:ascii="TH SarabunIT๙" w:cs="TH SarabunIT๙" w:eastAsia="Sarabun" w:hAnsi="TH SarabunIT๙"/>
          <w:color w:val="auto"/>
          <w:sz w:val="32"/>
          <w:szCs w:val="32"/>
          <w:u w:val="none"/>
        </w:rPr>
        <w:t>https://www.youtube.com/watch?v=E47HLYJXAFw</w:t>
      </w:r>
      <w:r>
        <w:rPr/>
        <w:fldChar w:fldCharType="end"/>
      </w:r>
    </w:p>
    <w:p>
      <w:pPr>
        <w:pStyle w:val="style0"/>
        <w:spacing w:after="0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  <w:cs/>
        </w:rPr>
        <w:t>สาขาวิชาประสาทวิทยา ภาควิชากุมารเวชศาสตร์ คณะแพทยศาสตร์โรงพยาบาลรามาธิบดี</w:t>
      </w:r>
      <w:r>
        <w:rPr>
          <w:rFonts w:ascii="TH SarabunIT๙" w:cs="TH SarabunIT๙" w:eastAsia="Sarabun" w:hAnsi="TH SarabunIT๙"/>
          <w:sz w:val="32"/>
          <w:szCs w:val="32"/>
        </w:rPr>
        <w:t>  </w:t>
      </w:r>
    </w:p>
    <w:p>
      <w:pPr>
        <w:pStyle w:val="style0"/>
        <w:spacing w:after="0"/>
        <w:ind w:firstLine="720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</w:rPr>
        <w:t> </w:t>
      </w:r>
      <w:r>
        <w:rPr>
          <w:rFonts w:ascii="TH SarabunIT๙" w:cs="TH SarabunIT๙" w:eastAsia="Sarabun" w:hAnsi="TH SarabunIT๙"/>
          <w:sz w:val="32"/>
          <w:szCs w:val="32"/>
          <w:cs/>
        </w:rPr>
        <w:t>มหาวิทยาลัยมหิดล. (</w:t>
      </w:r>
      <w:r>
        <w:rPr>
          <w:rFonts w:ascii="TH SarabunIT๙" w:cs="TH SarabunIT๙" w:eastAsia="Sarabun" w:hAnsi="TH SarabunIT๙"/>
          <w:sz w:val="32"/>
          <w:szCs w:val="32"/>
        </w:rPr>
        <w:t xml:space="preserve">2565, 20 </w:t>
      </w:r>
      <w:r>
        <w:rPr>
          <w:rFonts w:ascii="TH SarabunIT๙" w:cs="TH SarabunIT๙" w:eastAsia="Sarabun" w:hAnsi="TH SarabunIT๙"/>
          <w:sz w:val="32"/>
          <w:szCs w:val="32"/>
          <w:cs/>
        </w:rPr>
        <w:t>กรกฎาคม). โรคชักในเด็ก</w:t>
      </w:r>
    </w:p>
    <w:p>
      <w:pPr>
        <w:pStyle w:val="style0"/>
        <w:spacing w:after="0"/>
        <w:ind w:firstLine="720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</w:rPr>
        <w:t> https://www.youtube.com/watch?v=JquaDKprtKA</w:t>
      </w:r>
    </w:p>
    <w:p>
      <w:pPr>
        <w:pStyle w:val="style0"/>
        <w:spacing w:after="0"/>
        <w:rPr>
          <w:rFonts w:ascii="TH SarabunIT๙" w:cs="TH SarabunIT๙" w:eastAsia="Sarabun" w:hAnsi="TH SarabunIT๙"/>
          <w:b/>
          <w:bCs/>
          <w:sz w:val="32"/>
          <w:szCs w:val="32"/>
        </w:rPr>
      </w:pPr>
      <w:r>
        <w:rPr>
          <w:rFonts w:ascii="TH SarabunIT๙" w:cs="TH SarabunIT๙" w:eastAsia="Sarabun" w:hAnsi="TH SarabunIT๙"/>
          <w:sz w:val="32"/>
          <w:szCs w:val="32"/>
          <w:cs/>
        </w:rPr>
        <w:t>สิริรัตน์ เปรมประวัติ</w:t>
      </w:r>
      <w:r>
        <w:rPr>
          <w:rFonts w:ascii="TH SarabunIT๙" w:cs="TH SarabunIT๙" w:eastAsia="Sarabun" w:hAnsi="TH SarabunIT๙"/>
          <w:sz w:val="32"/>
          <w:szCs w:val="32"/>
        </w:rPr>
        <w:t xml:space="preserve">, 2566, </w:t>
      </w:r>
      <w:r>
        <w:rPr>
          <w:rFonts w:ascii="TH SarabunIT๙" w:cs="TH SarabunIT๙" w:eastAsia="Sarabun" w:hAnsi="TH SarabunIT๙"/>
          <w:sz w:val="32"/>
          <w:szCs w:val="32"/>
          <w:cs/>
        </w:rPr>
        <w:t>การดูแลผู้ป่วยที่มีอาการชัก</w:t>
      </w:r>
      <w:r>
        <w:rPr>
          <w:rFonts w:ascii="TH SarabunIT๙" w:cs="TH SarabunIT๙" w:eastAsia="Sarabun" w:hAnsi="TH SarabunIT๙"/>
          <w:sz w:val="32"/>
          <w:szCs w:val="32"/>
        </w:rPr>
        <w:t xml:space="preserve">, 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พิมพ์ครั้งที่ </w:t>
      </w:r>
      <w:r>
        <w:rPr>
          <w:rFonts w:ascii="TH SarabunIT๙" w:cs="TH SarabunIT๙" w:eastAsia="Sarabun" w:hAnsi="TH SarabunIT๙"/>
          <w:sz w:val="32"/>
          <w:szCs w:val="32"/>
        </w:rPr>
        <w:t>1.</w:t>
      </w:r>
      <w:r>
        <w:rPr>
          <w:rFonts w:ascii="TH SarabunIT๙" w:cs="TH SarabunIT๙" w:eastAsia="Sarabun" w:hAnsi="TH SarabunIT๙"/>
          <w:sz w:val="32"/>
          <w:szCs w:val="32"/>
          <w:cs/>
        </w:rPr>
        <w:t>กรุงเทพมหานคร : โรงพิมพ์</w:t>
      </w:r>
      <w:r>
        <w:rPr>
          <w:rFonts w:ascii="TH SarabunIT๙" w:cs="TH SarabunIT๙" w:eastAsia="Sarabun" w:hAnsi="TH SarabunIT๙"/>
          <w:sz w:val="32"/>
          <w:szCs w:val="32"/>
          <w:cs/>
        </w:rPr>
        <w:t>ศิ</w:t>
      </w:r>
      <w:r>
        <w:rPr>
          <w:rFonts w:ascii="TH SarabunIT๙" w:cs="TH SarabunIT๙" w:eastAsia="Sarabun" w:hAnsi="TH SarabunIT๙"/>
          <w:sz w:val="32"/>
          <w:szCs w:val="32"/>
          <w:cs/>
        </w:rPr>
        <w:t xml:space="preserve">ริราชเสาวรี เอี่ยมลออ. </w:t>
      </w:r>
      <w:r>
        <w:rPr>
          <w:rFonts w:ascii="TH SarabunIT๙" w:cs="TH SarabunIT๙" w:eastAsia="Sarabun" w:hAnsi="TH SarabunIT๙"/>
          <w:sz w:val="32"/>
          <w:szCs w:val="32"/>
        </w:rPr>
        <w:t xml:space="preserve">2566, </w:t>
      </w:r>
      <w:r>
        <w:rPr>
          <w:rFonts w:ascii="TH SarabunIT๙" w:cs="TH SarabunIT๙" w:eastAsia="Sarabun" w:hAnsi="TH SarabunIT๙"/>
          <w:sz w:val="32"/>
          <w:szCs w:val="32"/>
          <w:cs/>
        </w:rPr>
        <w:t>การเขียนแผนการพยาบาลผู้ป่วยเด็ก. มหาวิทยาลัยราชภัฏนครปฐม</w:t>
      </w:r>
    </w:p>
    <w:p>
      <w:pPr>
        <w:pStyle w:val="style0"/>
        <w:spacing w:after="0"/>
        <w:ind w:firstLine="720"/>
        <w:rPr>
          <w:rFonts w:ascii="TH SarabunIT๙" w:cs="TH SarabunIT๙" w:eastAsia="Sarabun" w:hAnsi="TH SarabunIT๙"/>
          <w:sz w:val="32"/>
          <w:szCs w:val="32"/>
        </w:rPr>
      </w:pPr>
    </w:p>
    <w:p>
      <w:pPr>
        <w:pStyle w:val="style0"/>
        <w:ind w:firstLine="720"/>
        <w:rPr>
          <w:rFonts w:ascii="TH SarabunIT๙" w:cs="TH SarabunIT๙" w:eastAsia="Sarabun" w:hAnsi="TH SarabunIT๙"/>
          <w:sz w:val="32"/>
          <w:szCs w:val="32"/>
        </w:rPr>
      </w:pPr>
    </w:p>
    <w:p>
      <w:pPr>
        <w:pStyle w:val="style0"/>
        <w:ind w:firstLine="720"/>
        <w:rPr>
          <w:rFonts w:ascii="TH SarabunIT๙" w:cs="TH SarabunIT๙" w:hAnsi="TH SarabunIT๙"/>
          <w:sz w:val="32"/>
          <w:szCs w:val="32"/>
          <w:cs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0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004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002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ordia New" w:eastAsia="Calibri" w:hAnsi="Calibri"/>
        <w:kern w:val="2"/>
        <w:sz w:val="22"/>
        <w:szCs w:val="28"/>
        <w:lang w:val="en-US" w:bidi="th-TH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Angsana New" w:eastAsia="宋体" w:hAnsi="Calibri Light"/>
      <w:color w:val="2f5496"/>
      <w:sz w:val="40"/>
      <w:szCs w:val="5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Angsana New" w:eastAsia="宋体" w:hAnsi="Calibri Light"/>
      <w:color w:val="2f5496"/>
      <w:sz w:val="32"/>
      <w:szCs w:val="40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Angsana New" w:eastAsia="宋体"/>
      <w:color w:val="2f5496"/>
      <w:sz w:val="28"/>
      <w:szCs w:val="35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Angsana New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Angsana New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Angsana New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Angsana New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Angsana New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Angsana New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หัวเรื่อง 1 อักขระ"/>
    <w:basedOn w:val="style65"/>
    <w:next w:val="style4097"/>
    <w:link w:val="style1"/>
    <w:uiPriority w:val="9"/>
    <w:rPr>
      <w:rFonts w:ascii="Calibri Light" w:cs="Angsana New" w:eastAsia="宋体" w:hAnsi="Calibri Light"/>
      <w:color w:val="2f5496"/>
      <w:sz w:val="40"/>
      <w:szCs w:val="50"/>
    </w:rPr>
  </w:style>
  <w:style w:type="character" w:customStyle="1" w:styleId="style4098">
    <w:name w:val="หัวเรื่อง 2 อักขระ"/>
    <w:basedOn w:val="style65"/>
    <w:next w:val="style4098"/>
    <w:link w:val="style2"/>
    <w:uiPriority w:val="9"/>
    <w:rPr>
      <w:rFonts w:ascii="Calibri Light" w:cs="Angsana New" w:eastAsia="宋体" w:hAnsi="Calibri Light"/>
      <w:color w:val="2f5496"/>
      <w:sz w:val="32"/>
      <w:szCs w:val="40"/>
    </w:rPr>
  </w:style>
  <w:style w:type="character" w:customStyle="1" w:styleId="style4099">
    <w:name w:val="หัวเรื่อง 3 อักขระ"/>
    <w:basedOn w:val="style65"/>
    <w:next w:val="style4099"/>
    <w:link w:val="style3"/>
    <w:uiPriority w:val="9"/>
    <w:rPr>
      <w:rFonts w:cs="Angsana New" w:eastAsia="宋体"/>
      <w:color w:val="2f5496"/>
      <w:sz w:val="28"/>
      <w:szCs w:val="35"/>
    </w:rPr>
  </w:style>
  <w:style w:type="character" w:customStyle="1" w:styleId="style4100">
    <w:name w:val="หัวเรื่อง 4 อักขระ"/>
    <w:basedOn w:val="style65"/>
    <w:next w:val="style4100"/>
    <w:link w:val="style4"/>
    <w:uiPriority w:val="9"/>
    <w:rPr>
      <w:rFonts w:cs="Angsana New" w:eastAsia="宋体"/>
      <w:i/>
      <w:iCs/>
      <w:color w:val="2f5496"/>
    </w:rPr>
  </w:style>
  <w:style w:type="character" w:customStyle="1" w:styleId="style4101">
    <w:name w:val="หัวเรื่อง 5 อักขระ"/>
    <w:basedOn w:val="style65"/>
    <w:next w:val="style4101"/>
    <w:link w:val="style5"/>
    <w:uiPriority w:val="9"/>
    <w:rPr>
      <w:rFonts w:cs="Angsana New" w:eastAsia="宋体"/>
      <w:color w:val="2f5496"/>
    </w:rPr>
  </w:style>
  <w:style w:type="character" w:customStyle="1" w:styleId="style4102">
    <w:name w:val="หัวเรื่อง 6 อักขระ"/>
    <w:basedOn w:val="style65"/>
    <w:next w:val="style4102"/>
    <w:link w:val="style6"/>
    <w:uiPriority w:val="9"/>
    <w:rPr>
      <w:rFonts w:cs="Angsana New" w:eastAsia="宋体"/>
      <w:i/>
      <w:iCs/>
      <w:color w:val="595959"/>
    </w:rPr>
  </w:style>
  <w:style w:type="character" w:customStyle="1" w:styleId="style4103">
    <w:name w:val="หัวเรื่อง 7 อักขระ"/>
    <w:basedOn w:val="style65"/>
    <w:next w:val="style4103"/>
    <w:link w:val="style7"/>
    <w:uiPriority w:val="9"/>
    <w:rPr>
      <w:rFonts w:cs="Angsana New" w:eastAsia="宋体"/>
      <w:color w:val="595959"/>
    </w:rPr>
  </w:style>
  <w:style w:type="character" w:customStyle="1" w:styleId="style4104">
    <w:name w:val="หัวเรื่อง 8 อักขระ"/>
    <w:basedOn w:val="style65"/>
    <w:next w:val="style4104"/>
    <w:link w:val="style8"/>
    <w:uiPriority w:val="9"/>
    <w:rPr>
      <w:rFonts w:cs="Angsana New" w:eastAsia="宋体"/>
      <w:i/>
      <w:iCs/>
      <w:color w:val="272727"/>
    </w:rPr>
  </w:style>
  <w:style w:type="character" w:customStyle="1" w:styleId="style4105">
    <w:name w:val="หัวเรื่อง 9 อักขระ"/>
    <w:basedOn w:val="style65"/>
    <w:next w:val="style4105"/>
    <w:link w:val="style9"/>
    <w:uiPriority w:val="9"/>
    <w:rPr>
      <w:rFonts w:cs="Angsana New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Angsana New" w:eastAsia="宋体" w:hAnsi="Calibri Light"/>
      <w:spacing w:val="-10"/>
      <w:kern w:val="28"/>
      <w:sz w:val="56"/>
      <w:szCs w:val="71"/>
    </w:rPr>
  </w:style>
  <w:style w:type="character" w:customStyle="1" w:styleId="style4106">
    <w:name w:val="ชื่อเรื่อง อักขระ"/>
    <w:basedOn w:val="style65"/>
    <w:next w:val="style4106"/>
    <w:link w:val="style62"/>
    <w:uiPriority w:val="10"/>
    <w:rPr>
      <w:rFonts w:ascii="Calibri Light" w:cs="Angsana New" w:eastAsia="宋体" w:hAnsi="Calibri Light"/>
      <w:spacing w:val="-10"/>
      <w:kern w:val="28"/>
      <w:sz w:val="56"/>
      <w:szCs w:val="71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Angsana New" w:eastAsia="宋体"/>
      <w:color w:val="595959"/>
      <w:spacing w:val="15"/>
      <w:sz w:val="28"/>
      <w:szCs w:val="35"/>
    </w:rPr>
  </w:style>
  <w:style w:type="character" w:customStyle="1" w:styleId="style4107">
    <w:name w:val="ชื่อเรื่องรอง อักขระ"/>
    <w:basedOn w:val="style65"/>
    <w:next w:val="style4107"/>
    <w:link w:val="style74"/>
    <w:uiPriority w:val="11"/>
    <w:rPr>
      <w:rFonts w:cs="Angsana New" w:eastAsia="宋体"/>
      <w:color w:val="595959"/>
      <w:spacing w:val="15"/>
      <w:sz w:val="28"/>
      <w:szCs w:val="35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คำอ้างอิง อักขระ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ทำให้คำอ้างอิงเป็นสีเข้มขึ้น อักขระ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7EDA7-E9A0-4B58-808D-BD3E6A69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116</Words>
  <Pages>2</Pages>
  <Characters>2475</Characters>
  <Application>WPS Office</Application>
  <DocSecurity>0</DocSecurity>
  <Paragraphs>26</Paragraphs>
  <ScaleCrop>false</ScaleCrop>
  <LinksUpToDate>false</LinksUpToDate>
  <CharactersWithSpaces>2621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2026-05-12T00:44:58Z</dcterms:created>
  <dc:creator>krhoss26_30@outlook.com</dc:creator>
  <lastModifiedBy>SM-S711B</lastModifiedBy>
  <dcterms:modified xsi:type="dcterms:W3CDTF">2026-05-12T00:44:58Z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df17766ed7654e3db85126ba4e1b152b</vt:lpwstr>
  </property>
</Properties>
</file>